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01" w:rsidRPr="005F05AE" w:rsidRDefault="001508E4" w:rsidP="0048249E">
      <w:pPr>
        <w:pStyle w:val="Odstavecseseznamem"/>
        <w:ind w:left="0" w:firstLine="0"/>
        <w:jc w:val="center"/>
        <w:rPr>
          <w:sz w:val="96"/>
          <w:szCs w:val="96"/>
        </w:rPr>
      </w:pPr>
      <w:r w:rsidRPr="005F05AE">
        <w:rPr>
          <w:noProof/>
          <w:sz w:val="96"/>
          <w:szCs w:val="96"/>
          <w:lang w:val="en-US"/>
        </w:rPr>
        <mc:AlternateContent>
          <mc:Choice Requires="wps">
            <w:drawing>
              <wp:anchor distT="0" distB="0" distL="114300" distR="114300" simplePos="0" relativeHeight="251664384" behindDoc="0" locked="0" layoutInCell="1" allowOverlap="1" wp14:anchorId="6BB02AF6" wp14:editId="606D11A2">
                <wp:simplePos x="0" y="0"/>
                <wp:positionH relativeFrom="column">
                  <wp:posOffset>5739130</wp:posOffset>
                </wp:positionH>
                <wp:positionV relativeFrom="paragraph">
                  <wp:posOffset>102235</wp:posOffset>
                </wp:positionV>
                <wp:extent cx="323850" cy="323850"/>
                <wp:effectExtent l="0" t="0" r="19050" b="19050"/>
                <wp:wrapNone/>
                <wp:docPr id="20" name="Obdélník 20"/>
                <wp:cNvGraphicFramePr/>
                <a:graphic xmlns:a="http://schemas.openxmlformats.org/drawingml/2006/main">
                  <a:graphicData uri="http://schemas.microsoft.com/office/word/2010/wordprocessingShape">
                    <wps:wsp>
                      <wps:cNvSpPr/>
                      <wps:spPr>
                        <a:xfrm>
                          <a:off x="0" y="0"/>
                          <a:ext cx="32385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0" o:spid="_x0000_s1026" style="position:absolute;margin-left:451.9pt;margin-top:8.05pt;width:25.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RmgIAAIYFAAAOAAAAZHJzL2Uyb0RvYy54bWysVM1u2zAMvg/YOwi6r07SduuMOkXQosOA&#10;og3WDj0rslQLk0VNUuJkb7TDnqIvNkqynaArdhjmg0yK5McfkTy/2LaabITzCkxFp0cTSoThUCvz&#10;VNGvD9fvzijxgZmaaTCiojvh6cX87ZvzzpZiBg3oWjiCIMaXna1oE4Iti8LzRrTMH4EVBoUSXMsC&#10;su6pqB3rEL3VxWwyeV904GrrgAvv8fYqC+k84UspeLiT0otAdEUxtpBOl85VPIv5OSufHLON4n0Y&#10;7B+iaJky6HSEumKBkbVTf0C1ijvwIMMRh7YAKRUXKQfMZjp5kc19w6xIuWBxvB3L5P8fLL/dLB1R&#10;dUVnWB7DWnyju1X9/FOb51/fCF5ihTrrS1S8t0vXcx7JmO5Wujb+MRGyTVXdjVUV20A4Xh7Pjs9O&#10;EZyjqKcRpdgbW+fDJwEtiURFHT5aqiXb3PiQVQeV6MvAtdIa71mpTTw9aFXHu8TEzhGX2pENwzcP&#10;22nMAL0daCEXLYuYV84kUWGnRUb9IiTWBGOfpUBSN+4xGefChGkWNawW2dXpBL/B2RBFcq0NAkZk&#10;iUGO2D3AoJlBBuwcc68fTUVq5tF48rfAsvFokTyDCaNxqwy41wA0ZtV7zvpDkXJpYpVWUO+wYxzk&#10;UfKWXyt8thvmw5I5nB18adwH4Q4PqaGrKPQUJQ24H6/dR31saZRS0uEsVtR/XzMnKNGfDTb7x+nJ&#10;SRzexJycfoit6g4lq0OJWbeXgE8/xc1jeSKjftADKR20j7g2FtEripjh6LuiPLiBuQx5R+Di4WKx&#10;SGo4sJaFG3NveQSPVY1t+bB9ZM72vRuw6W9hmFtWvmjhrBstDSzWAaRK/b2va19vHPbUOP1iitvk&#10;kE9a+/U5/w0AAP//AwBQSwMEFAAGAAgAAAAhALTARN3iAAAACQEAAA8AAABkcnMvZG93bnJldi54&#10;bWxMj8FOwzAQRO9I/IO1SFyq1kmBQEOcqkIqrZBAaoEDNzfexhHxOordNvx9lxMcZ2c087aYD64V&#10;R+xD40lBOklAIFXeNFQr+Hhfjh9AhKjJ6NYTKvjBAPPy8qLQufEn2uBxG2vBJRRyrcDG2OVShsqi&#10;02HiOyT29r53OrLsa2l6feJy18ppkmTS6YZ4weoOnyxW39uDU7Bc2dFCvrx+duvwtnfTdfe8Gn0p&#10;dX01LB5BRBziXxh+8RkdSmba+QOZIFoFs+SG0SMbWQqCA7O7Wz7sFGT3KciykP8/KM8AAAD//wMA&#10;UEsBAi0AFAAGAAgAAAAhALaDOJL+AAAA4QEAABMAAAAAAAAAAAAAAAAAAAAAAFtDb250ZW50X1R5&#10;cGVzXS54bWxQSwECLQAUAAYACAAAACEAOP0h/9YAAACUAQAACwAAAAAAAAAAAAAAAAAvAQAAX3Jl&#10;bHMvLnJlbHNQSwECLQAUAAYACAAAACEAqov4kZoCAACGBQAADgAAAAAAAAAAAAAAAAAuAgAAZHJz&#10;L2Uyb0RvYy54bWxQSwECLQAUAAYACAAAACEAtMBE3eIAAAAJAQAADwAAAAAAAAAAAAAAAAD0BAAA&#10;ZHJzL2Rvd25yZXYueG1sUEsFBgAAAAAEAAQA8wAAAAMGAAAAAA==&#10;" filled="f" strokecolor="black [3213]" strokeweight="2pt"/>
            </w:pict>
          </mc:Fallback>
        </mc:AlternateContent>
      </w:r>
      <w:r w:rsidR="0046796C" w:rsidRPr="005F05AE">
        <w:rPr>
          <w:sz w:val="96"/>
          <w:szCs w:val="96"/>
        </w:rPr>
        <w:t>5</w:t>
      </w:r>
    </w:p>
    <w:p w:rsidR="007F2701" w:rsidRPr="005F05AE" w:rsidRDefault="007F2701" w:rsidP="0048249E">
      <w:pPr>
        <w:pStyle w:val="Odstavecseseznamem"/>
        <w:ind w:left="0" w:firstLine="0"/>
        <w:jc w:val="center"/>
      </w:pPr>
    </w:p>
    <w:p w:rsidR="00407416" w:rsidRPr="005F05AE" w:rsidRDefault="0046796C" w:rsidP="0048249E">
      <w:pPr>
        <w:pStyle w:val="Odstavecseseznamem"/>
        <w:ind w:left="0" w:firstLine="0"/>
        <w:jc w:val="center"/>
        <w:rPr>
          <w:b/>
        </w:rPr>
      </w:pPr>
      <w:r w:rsidRPr="005F05AE">
        <w:rPr>
          <w:b/>
        </w:rPr>
        <w:t>FENOLOGICKÁ POZOROVÁNÍ</w:t>
      </w:r>
    </w:p>
    <w:p w:rsidR="001F457D" w:rsidRPr="005F05AE" w:rsidRDefault="001F457D" w:rsidP="008B2AA4">
      <w:pPr>
        <w:jc w:val="center"/>
      </w:pPr>
    </w:p>
    <w:p w:rsidR="001F457D" w:rsidRPr="005F05AE" w:rsidRDefault="001F457D" w:rsidP="007F2701">
      <w:pPr>
        <w:ind w:firstLine="0"/>
      </w:pPr>
      <w:r w:rsidRPr="005F05AE">
        <w:rPr>
          <w:b/>
        </w:rPr>
        <w:t>pomůcky:</w:t>
      </w:r>
      <w:r w:rsidRPr="005F05AE">
        <w:t xml:space="preserve"> </w:t>
      </w:r>
      <w:r w:rsidR="00984FD1">
        <w:t>kalkulačka, psací potřeby, p</w:t>
      </w:r>
      <w:r w:rsidR="00984FD1" w:rsidRPr="00984FD1">
        <w:t>růměrné denní teploty vzduchu (°C)</w:t>
      </w:r>
      <w:r w:rsidR="00984FD1">
        <w:t>, popis fenofází</w:t>
      </w:r>
      <w:bookmarkStart w:id="0" w:name="_GoBack"/>
      <w:bookmarkEnd w:id="0"/>
    </w:p>
    <w:p w:rsidR="001F457D" w:rsidRPr="005F05AE" w:rsidRDefault="001F457D" w:rsidP="001F457D">
      <w:pPr>
        <w:jc w:val="left"/>
      </w:pPr>
    </w:p>
    <w:p w:rsidR="002C690D" w:rsidRPr="005F05AE" w:rsidRDefault="0046796C" w:rsidP="001508E4">
      <w:pPr>
        <w:pStyle w:val="Odstavecseseznamem"/>
        <w:numPr>
          <w:ilvl w:val="0"/>
          <w:numId w:val="5"/>
        </w:numPr>
        <w:ind w:left="993" w:hanging="567"/>
        <w:jc w:val="left"/>
      </w:pPr>
      <w:r w:rsidRPr="005F05AE">
        <w:t xml:space="preserve">Zjistěte sumu efektivních teplot dané </w:t>
      </w:r>
      <w:r w:rsidR="007B4A04" w:rsidRPr="005F05AE">
        <w:t xml:space="preserve">jarní </w:t>
      </w:r>
      <w:proofErr w:type="spellStart"/>
      <w:r w:rsidRPr="005F05AE">
        <w:t>fenofáze</w:t>
      </w:r>
      <w:proofErr w:type="spellEnd"/>
      <w:r w:rsidRPr="005F05AE">
        <w:t>.</w:t>
      </w:r>
    </w:p>
    <w:p w:rsidR="003B0A80" w:rsidRPr="005F05AE" w:rsidRDefault="003B0A80" w:rsidP="003B0A80">
      <w:pPr>
        <w:pStyle w:val="Odstavecseseznamem"/>
        <w:ind w:left="993" w:firstLine="0"/>
        <w:jc w:val="left"/>
      </w:pPr>
    </w:p>
    <w:p w:rsidR="002C690D" w:rsidRPr="005F05AE" w:rsidRDefault="007B4A04" w:rsidP="00CA5F70">
      <w:pPr>
        <w:pStyle w:val="Odstavecseseznamem"/>
        <w:numPr>
          <w:ilvl w:val="0"/>
          <w:numId w:val="7"/>
        </w:numPr>
        <w:jc w:val="left"/>
      </w:pPr>
      <w:r w:rsidRPr="005F05AE">
        <w:t>Spočítejte sumu efektivních teplot</w:t>
      </w:r>
      <w:r w:rsidR="003D0EF3" w:rsidRPr="005F05AE">
        <w:t xml:space="preserve"> (</w:t>
      </w:r>
      <w:r w:rsidR="003D0EF3" w:rsidRPr="005F05AE">
        <w:rPr>
          <w:rFonts w:ascii="Calibri" w:eastAsia="Times New Roman" w:hAnsi="Calibri"/>
          <w:color w:val="000000"/>
          <w:sz w:val="22"/>
          <w:szCs w:val="22"/>
        </w:rPr>
        <w:t>ΣET)</w:t>
      </w:r>
      <w:r w:rsidRPr="005F05AE">
        <w:t xml:space="preserve"> pro jarní </w:t>
      </w:r>
      <w:proofErr w:type="spellStart"/>
      <w:r w:rsidRPr="005F05AE">
        <w:t>fenofázi</w:t>
      </w:r>
      <w:proofErr w:type="spellEnd"/>
      <w:r w:rsidR="00971186" w:rsidRPr="005F05AE">
        <w:t xml:space="preserve"> roku 2015</w:t>
      </w:r>
      <w:r w:rsidRPr="005F05AE">
        <w:t xml:space="preserve"> – první listy (10%) a plné olistění pro dvě dřeviny lípa srdčitá (</w:t>
      </w:r>
      <w:proofErr w:type="spellStart"/>
      <w:r w:rsidRPr="005F05AE">
        <w:rPr>
          <w:i/>
        </w:rPr>
        <w:t>Tilia</w:t>
      </w:r>
      <w:proofErr w:type="spellEnd"/>
      <w:r w:rsidRPr="005F05AE">
        <w:rPr>
          <w:i/>
        </w:rPr>
        <w:t xml:space="preserve"> </w:t>
      </w:r>
      <w:proofErr w:type="spellStart"/>
      <w:r w:rsidRPr="005F05AE">
        <w:rPr>
          <w:i/>
        </w:rPr>
        <w:t>cordata</w:t>
      </w:r>
      <w:proofErr w:type="spellEnd"/>
      <w:r w:rsidRPr="005F05AE">
        <w:t>) a líska obecná (</w:t>
      </w:r>
      <w:proofErr w:type="spellStart"/>
      <w:r w:rsidRPr="005F05AE">
        <w:rPr>
          <w:i/>
        </w:rPr>
        <w:t>Corylus</w:t>
      </w:r>
      <w:proofErr w:type="spellEnd"/>
      <w:r w:rsidRPr="005F05AE">
        <w:rPr>
          <w:i/>
        </w:rPr>
        <w:t xml:space="preserve"> </w:t>
      </w:r>
      <w:proofErr w:type="spellStart"/>
      <w:r w:rsidRPr="005F05AE">
        <w:rPr>
          <w:i/>
        </w:rPr>
        <w:t>avellana</w:t>
      </w:r>
      <w:proofErr w:type="spellEnd"/>
      <w:r w:rsidRPr="005F05AE">
        <w:t>). Využijte nápovědu a přiložená data na konci tohoto cvičení.</w:t>
      </w:r>
    </w:p>
    <w:p w:rsidR="00D003EF" w:rsidRPr="005F05AE" w:rsidRDefault="00D003EF" w:rsidP="00D003EF">
      <w:pPr>
        <w:pStyle w:val="Odstavecseseznamem"/>
        <w:ind w:left="1353" w:firstLine="0"/>
        <w:jc w:val="left"/>
      </w:pPr>
    </w:p>
    <w:tbl>
      <w:tblPr>
        <w:tblW w:w="6076" w:type="dxa"/>
        <w:jc w:val="center"/>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20"/>
        <w:gridCol w:w="1860"/>
        <w:gridCol w:w="599"/>
        <w:gridCol w:w="663"/>
        <w:gridCol w:w="1134"/>
      </w:tblGrid>
      <w:tr w:rsidR="00D003EF" w:rsidRPr="005F05AE" w:rsidTr="00D003EF">
        <w:trPr>
          <w:trHeight w:val="300"/>
          <w:jc w:val="center"/>
        </w:trPr>
        <w:tc>
          <w:tcPr>
            <w:tcW w:w="1820" w:type="dxa"/>
            <w:tcBorders>
              <w:left w:val="single" w:sz="2" w:space="0" w:color="FFFFFF" w:themeColor="background1"/>
              <w:right w:val="single" w:sz="2" w:space="0" w:color="FFFFFF" w:themeColor="background1"/>
            </w:tcBorders>
            <w:shd w:val="clear" w:color="auto" w:fill="auto"/>
            <w:noWrap/>
            <w:vAlign w:val="bottom"/>
            <w:hideMark/>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druh</w:t>
            </w:r>
          </w:p>
        </w:tc>
        <w:tc>
          <w:tcPr>
            <w:tcW w:w="1860" w:type="dxa"/>
            <w:tcBorders>
              <w:left w:val="single" w:sz="2" w:space="0" w:color="FFFFFF" w:themeColor="background1"/>
              <w:right w:val="single" w:sz="2" w:space="0" w:color="FFFFFF" w:themeColor="background1"/>
            </w:tcBorders>
            <w:shd w:val="clear" w:color="auto" w:fill="auto"/>
            <w:noWrap/>
            <w:vAlign w:val="bottom"/>
            <w:hideMark/>
          </w:tcPr>
          <w:p w:rsidR="00D003EF" w:rsidRPr="005F05AE" w:rsidRDefault="00D003EF" w:rsidP="00D003EF">
            <w:pPr>
              <w:spacing w:after="0"/>
              <w:ind w:firstLine="0"/>
              <w:contextualSpacing w:val="0"/>
              <w:jc w:val="left"/>
              <w:rPr>
                <w:rFonts w:ascii="Calibri" w:eastAsia="Times New Roman" w:hAnsi="Calibri"/>
                <w:color w:val="000000"/>
                <w:sz w:val="22"/>
                <w:szCs w:val="22"/>
              </w:rPr>
            </w:pPr>
            <w:proofErr w:type="spellStart"/>
            <w:r w:rsidRPr="005F05AE">
              <w:rPr>
                <w:rFonts w:ascii="Calibri" w:eastAsia="Times New Roman" w:hAnsi="Calibri"/>
                <w:color w:val="000000"/>
                <w:sz w:val="22"/>
                <w:szCs w:val="22"/>
              </w:rPr>
              <w:t>fenofáze</w:t>
            </w:r>
            <w:proofErr w:type="spellEnd"/>
          </w:p>
        </w:tc>
        <w:tc>
          <w:tcPr>
            <w:tcW w:w="599" w:type="dxa"/>
            <w:tcBorders>
              <w:left w:val="single" w:sz="2" w:space="0" w:color="FFFFFF" w:themeColor="background1"/>
              <w:right w:val="single" w:sz="2" w:space="0" w:color="FFFFFF" w:themeColor="background1"/>
            </w:tcBorders>
            <w:vAlign w:val="bottom"/>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den</w:t>
            </w:r>
          </w:p>
        </w:tc>
        <w:tc>
          <w:tcPr>
            <w:tcW w:w="663" w:type="dxa"/>
            <w:tcBorders>
              <w:left w:val="single" w:sz="2" w:space="0" w:color="FFFFFF" w:themeColor="background1"/>
              <w:right w:val="single" w:sz="2" w:space="0" w:color="FFFFFF" w:themeColor="background1"/>
            </w:tcBorders>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rok</w:t>
            </w:r>
          </w:p>
        </w:tc>
        <w:tc>
          <w:tcPr>
            <w:tcW w:w="1134" w:type="dxa"/>
            <w:tcBorders>
              <w:left w:val="single" w:sz="2" w:space="0" w:color="FFFFFF" w:themeColor="background1"/>
              <w:bottom w:val="single" w:sz="18" w:space="0" w:color="auto"/>
              <w:right w:val="single" w:sz="2" w:space="0" w:color="FFFFFF" w:themeColor="background1"/>
            </w:tcBorders>
            <w:shd w:val="clear" w:color="auto" w:fill="auto"/>
            <w:noWrap/>
            <w:vAlign w:val="bottom"/>
            <w:hideMark/>
          </w:tcPr>
          <w:p w:rsidR="00D003EF" w:rsidRPr="005F05AE" w:rsidRDefault="00D003EF" w:rsidP="00784C6E">
            <w:pPr>
              <w:spacing w:after="0"/>
              <w:ind w:firstLine="0"/>
              <w:contextualSpacing w:val="0"/>
              <w:jc w:val="center"/>
              <w:rPr>
                <w:rFonts w:ascii="Calibri" w:eastAsia="Times New Roman" w:hAnsi="Calibri"/>
                <w:color w:val="000000"/>
                <w:sz w:val="22"/>
                <w:szCs w:val="22"/>
              </w:rPr>
            </w:pPr>
            <w:r w:rsidRPr="005F05AE">
              <w:rPr>
                <w:rFonts w:ascii="Calibri" w:eastAsia="Times New Roman" w:hAnsi="Calibri"/>
                <w:color w:val="000000"/>
                <w:sz w:val="22"/>
                <w:szCs w:val="22"/>
              </w:rPr>
              <w:t>ΣET</w:t>
            </w:r>
          </w:p>
        </w:tc>
      </w:tr>
      <w:tr w:rsidR="00D003EF" w:rsidRPr="005F05AE" w:rsidTr="00D003EF">
        <w:trPr>
          <w:trHeight w:val="447"/>
          <w:jc w:val="center"/>
        </w:trPr>
        <w:tc>
          <w:tcPr>
            <w:tcW w:w="1820" w:type="dxa"/>
            <w:tcBorders>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lípa srdčitá</w:t>
            </w:r>
          </w:p>
        </w:tc>
        <w:tc>
          <w:tcPr>
            <w:tcW w:w="1860" w:type="dxa"/>
            <w:tcBorders>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první listy (10 %)</w:t>
            </w:r>
          </w:p>
        </w:tc>
        <w:tc>
          <w:tcPr>
            <w:tcW w:w="599" w:type="dxa"/>
            <w:tcBorders>
              <w:left w:val="single" w:sz="2" w:space="0" w:color="FFFFFF" w:themeColor="background1"/>
              <w:bottom w:val="single" w:sz="2" w:space="0" w:color="FFFFFF" w:themeColor="background1"/>
              <w:right w:val="single" w:sz="2" w:space="0" w:color="FFFFFF" w:themeColor="background1"/>
            </w:tcBorders>
            <w:vAlign w:val="bottom"/>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110</w:t>
            </w:r>
          </w:p>
        </w:tc>
        <w:tc>
          <w:tcPr>
            <w:tcW w:w="663" w:type="dxa"/>
            <w:tcBorders>
              <w:left w:val="single" w:sz="2" w:space="0" w:color="FFFFFF" w:themeColor="background1"/>
              <w:bottom w:val="single" w:sz="2" w:space="0" w:color="FFFFFF" w:themeColor="background1"/>
              <w:right w:val="single" w:sz="2" w:space="0" w:color="FFFFFF" w:themeColor="background1"/>
            </w:tcBorders>
            <w:vAlign w:val="bottom"/>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2015</w:t>
            </w:r>
          </w:p>
        </w:tc>
        <w:tc>
          <w:tcPr>
            <w:tcW w:w="11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D003EF" w:rsidRPr="005F05AE" w:rsidRDefault="00D003EF" w:rsidP="00D003EF">
            <w:pPr>
              <w:spacing w:after="0"/>
              <w:ind w:firstLine="0"/>
              <w:contextualSpacing w:val="0"/>
              <w:jc w:val="left"/>
              <w:rPr>
                <w:rFonts w:ascii="Calibri" w:eastAsia="Times New Roman" w:hAnsi="Calibri"/>
                <w:color w:val="000000"/>
                <w:sz w:val="22"/>
                <w:szCs w:val="22"/>
              </w:rPr>
            </w:pPr>
          </w:p>
        </w:tc>
      </w:tr>
      <w:tr w:rsidR="00D003EF" w:rsidRPr="005F05AE" w:rsidTr="00D003EF">
        <w:trPr>
          <w:trHeight w:val="447"/>
          <w:jc w:val="center"/>
        </w:trPr>
        <w:tc>
          <w:tcPr>
            <w:tcW w:w="18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D003EF" w:rsidRPr="005F05AE" w:rsidRDefault="00D003EF" w:rsidP="00D003EF">
            <w:pPr>
              <w:spacing w:after="0"/>
              <w:ind w:firstLine="0"/>
              <w:contextualSpacing w:val="0"/>
              <w:jc w:val="left"/>
              <w:rPr>
                <w:rFonts w:ascii="Calibri" w:eastAsia="Times New Roman" w:hAnsi="Calibri"/>
                <w:color w:val="000000"/>
                <w:sz w:val="22"/>
                <w:szCs w:val="22"/>
              </w:rPr>
            </w:pPr>
          </w:p>
        </w:tc>
        <w:tc>
          <w:tcPr>
            <w:tcW w:w="18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plné olistění</w:t>
            </w:r>
          </w:p>
        </w:tc>
        <w:tc>
          <w:tcPr>
            <w:tcW w:w="5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121</w:t>
            </w:r>
          </w:p>
        </w:tc>
        <w:tc>
          <w:tcPr>
            <w:tcW w:w="66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2015</w:t>
            </w:r>
          </w:p>
        </w:tc>
        <w:tc>
          <w:tcPr>
            <w:tcW w:w="11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D003EF" w:rsidRPr="005F05AE" w:rsidRDefault="00D003EF" w:rsidP="00D003EF">
            <w:pPr>
              <w:spacing w:after="0"/>
              <w:ind w:firstLine="0"/>
              <w:contextualSpacing w:val="0"/>
              <w:jc w:val="left"/>
              <w:rPr>
                <w:rFonts w:ascii="Calibri" w:eastAsia="Times New Roman" w:hAnsi="Calibri"/>
                <w:color w:val="000000"/>
                <w:sz w:val="22"/>
                <w:szCs w:val="22"/>
              </w:rPr>
            </w:pPr>
          </w:p>
        </w:tc>
      </w:tr>
      <w:tr w:rsidR="00D003EF" w:rsidRPr="005F05AE" w:rsidTr="00D003EF">
        <w:trPr>
          <w:trHeight w:val="447"/>
          <w:jc w:val="center"/>
        </w:trPr>
        <w:tc>
          <w:tcPr>
            <w:tcW w:w="18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líska obecná</w:t>
            </w:r>
          </w:p>
        </w:tc>
        <w:tc>
          <w:tcPr>
            <w:tcW w:w="18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první listy (10 %)</w:t>
            </w:r>
          </w:p>
        </w:tc>
        <w:tc>
          <w:tcPr>
            <w:tcW w:w="5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100</w:t>
            </w:r>
          </w:p>
        </w:tc>
        <w:tc>
          <w:tcPr>
            <w:tcW w:w="66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2015</w:t>
            </w:r>
          </w:p>
        </w:tc>
        <w:tc>
          <w:tcPr>
            <w:tcW w:w="11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D003EF" w:rsidRPr="005F05AE" w:rsidRDefault="00D003EF" w:rsidP="00D003EF">
            <w:pPr>
              <w:spacing w:after="0"/>
              <w:ind w:firstLine="0"/>
              <w:contextualSpacing w:val="0"/>
              <w:jc w:val="left"/>
              <w:rPr>
                <w:rFonts w:ascii="Calibri" w:eastAsia="Times New Roman" w:hAnsi="Calibri"/>
                <w:color w:val="000000"/>
                <w:sz w:val="22"/>
                <w:szCs w:val="22"/>
              </w:rPr>
            </w:pPr>
          </w:p>
        </w:tc>
      </w:tr>
      <w:tr w:rsidR="00D003EF" w:rsidRPr="005F05AE" w:rsidTr="00D003EF">
        <w:trPr>
          <w:trHeight w:val="447"/>
          <w:jc w:val="center"/>
        </w:trPr>
        <w:tc>
          <w:tcPr>
            <w:tcW w:w="1820" w:type="dxa"/>
            <w:tcBorders>
              <w:top w:val="single" w:sz="2" w:space="0" w:color="FFFFFF" w:themeColor="background1"/>
              <w:left w:val="single" w:sz="2" w:space="0" w:color="FFFFFF" w:themeColor="background1"/>
              <w:right w:val="single" w:sz="2" w:space="0" w:color="FFFFFF" w:themeColor="background1"/>
            </w:tcBorders>
            <w:shd w:val="clear" w:color="auto" w:fill="auto"/>
            <w:noWrap/>
            <w:vAlign w:val="bottom"/>
            <w:hideMark/>
          </w:tcPr>
          <w:p w:rsidR="00D003EF" w:rsidRPr="005F05AE" w:rsidRDefault="00D003EF" w:rsidP="00D003EF">
            <w:pPr>
              <w:spacing w:after="0"/>
              <w:ind w:firstLine="0"/>
              <w:contextualSpacing w:val="0"/>
              <w:jc w:val="left"/>
              <w:rPr>
                <w:rFonts w:ascii="Calibri" w:eastAsia="Times New Roman" w:hAnsi="Calibri"/>
                <w:color w:val="000000"/>
                <w:sz w:val="22"/>
                <w:szCs w:val="22"/>
              </w:rPr>
            </w:pPr>
          </w:p>
        </w:tc>
        <w:tc>
          <w:tcPr>
            <w:tcW w:w="1860" w:type="dxa"/>
            <w:tcBorders>
              <w:top w:val="single" w:sz="2" w:space="0" w:color="FFFFFF" w:themeColor="background1"/>
              <w:left w:val="single" w:sz="2" w:space="0" w:color="FFFFFF" w:themeColor="background1"/>
              <w:right w:val="single" w:sz="2" w:space="0" w:color="FFFFFF" w:themeColor="background1"/>
            </w:tcBorders>
            <w:shd w:val="clear" w:color="auto" w:fill="auto"/>
            <w:noWrap/>
            <w:vAlign w:val="bottom"/>
            <w:hideMark/>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plné olistění</w:t>
            </w:r>
          </w:p>
        </w:tc>
        <w:tc>
          <w:tcPr>
            <w:tcW w:w="599" w:type="dxa"/>
            <w:tcBorders>
              <w:top w:val="single" w:sz="2" w:space="0" w:color="FFFFFF" w:themeColor="background1"/>
              <w:left w:val="single" w:sz="2" w:space="0" w:color="FFFFFF" w:themeColor="background1"/>
              <w:right w:val="single" w:sz="2" w:space="0" w:color="FFFFFF" w:themeColor="background1"/>
            </w:tcBorders>
            <w:vAlign w:val="bottom"/>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125</w:t>
            </w:r>
          </w:p>
        </w:tc>
        <w:tc>
          <w:tcPr>
            <w:tcW w:w="663" w:type="dxa"/>
            <w:tcBorders>
              <w:top w:val="single" w:sz="2" w:space="0" w:color="FFFFFF" w:themeColor="background1"/>
              <w:left w:val="single" w:sz="2" w:space="0" w:color="FFFFFF" w:themeColor="background1"/>
              <w:right w:val="single" w:sz="2" w:space="0" w:color="FFFFFF" w:themeColor="background1"/>
            </w:tcBorders>
            <w:vAlign w:val="bottom"/>
          </w:tcPr>
          <w:p w:rsidR="00D003EF" w:rsidRPr="005F05AE" w:rsidRDefault="00D003EF" w:rsidP="00D003EF">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2015</w:t>
            </w:r>
          </w:p>
        </w:tc>
        <w:tc>
          <w:tcPr>
            <w:tcW w:w="113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D003EF" w:rsidRPr="005F05AE" w:rsidRDefault="00D003EF" w:rsidP="00D003EF">
            <w:pPr>
              <w:spacing w:after="0"/>
              <w:ind w:firstLine="0"/>
              <w:contextualSpacing w:val="0"/>
              <w:jc w:val="left"/>
              <w:rPr>
                <w:rFonts w:ascii="Calibri" w:eastAsia="Times New Roman" w:hAnsi="Calibri"/>
                <w:color w:val="000000"/>
                <w:sz w:val="22"/>
                <w:szCs w:val="22"/>
              </w:rPr>
            </w:pPr>
          </w:p>
        </w:tc>
      </w:tr>
    </w:tbl>
    <w:p w:rsidR="00BB25EE" w:rsidRPr="005F05AE" w:rsidRDefault="00BB25EE" w:rsidP="00BB25EE">
      <w:pPr>
        <w:pStyle w:val="Odstavecseseznamem"/>
        <w:ind w:left="1353" w:firstLine="0"/>
        <w:jc w:val="left"/>
      </w:pPr>
    </w:p>
    <w:p w:rsidR="00BB25EE" w:rsidRPr="005F05AE" w:rsidRDefault="00971186" w:rsidP="00BB25EE">
      <w:pPr>
        <w:pStyle w:val="Odstavecseseznamem"/>
        <w:numPr>
          <w:ilvl w:val="0"/>
          <w:numId w:val="7"/>
        </w:numPr>
        <w:jc w:val="left"/>
      </w:pPr>
      <w:r w:rsidRPr="005F05AE">
        <w:t xml:space="preserve">Porovnejte den nástupu </w:t>
      </w:r>
      <w:r w:rsidR="003D0EF3" w:rsidRPr="005F05AE">
        <w:t xml:space="preserve">a </w:t>
      </w:r>
      <w:r w:rsidR="003D0EF3" w:rsidRPr="005F05AE">
        <w:rPr>
          <w:rFonts w:ascii="Calibri" w:eastAsia="Times New Roman" w:hAnsi="Calibri"/>
          <w:color w:val="000000"/>
          <w:sz w:val="22"/>
          <w:szCs w:val="22"/>
        </w:rPr>
        <w:t>ΣET</w:t>
      </w:r>
      <w:r w:rsidR="003D0EF3" w:rsidRPr="005F05AE">
        <w:t xml:space="preserve"> </w:t>
      </w:r>
      <w:r w:rsidRPr="005F05AE">
        <w:t xml:space="preserve">předešlých </w:t>
      </w:r>
      <w:proofErr w:type="spellStart"/>
      <w:r w:rsidRPr="005F05AE">
        <w:t>fenofází</w:t>
      </w:r>
      <w:proofErr w:type="spellEnd"/>
      <w:r w:rsidRPr="005F05AE">
        <w:t xml:space="preserve"> s</w:t>
      </w:r>
      <w:r w:rsidR="003D0EF3" w:rsidRPr="005F05AE">
        <w:t> rokem 1929. Dle přiložených dat odhadněte,</w:t>
      </w:r>
      <w:r w:rsidR="00D003EF" w:rsidRPr="005F05AE">
        <w:t xml:space="preserve"> jaký byl konec zimy a</w:t>
      </w:r>
      <w:r w:rsidR="003D0EF3" w:rsidRPr="005F05AE">
        <w:t xml:space="preserve"> jaro v roce 1929 z hlediska teplot</w:t>
      </w:r>
      <w:r w:rsidR="00D003EF" w:rsidRPr="005F05AE">
        <w:t xml:space="preserve"> v porovnání s rokem 2015</w:t>
      </w:r>
      <w:r w:rsidR="003D0EF3" w:rsidRPr="005F05AE">
        <w:t>.</w:t>
      </w:r>
      <w:r w:rsidRPr="005F05AE">
        <w:t xml:space="preserve">  </w:t>
      </w:r>
    </w:p>
    <w:p w:rsidR="00D003EF" w:rsidRPr="005F05AE" w:rsidRDefault="00D003EF" w:rsidP="00D003EF">
      <w:pPr>
        <w:pStyle w:val="Odstavecseseznamem"/>
        <w:ind w:left="1353" w:firstLine="0"/>
        <w:jc w:val="left"/>
      </w:pPr>
    </w:p>
    <w:tbl>
      <w:tblPr>
        <w:tblW w:w="6076" w:type="dxa"/>
        <w:jc w:val="center"/>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20"/>
        <w:gridCol w:w="1860"/>
        <w:gridCol w:w="599"/>
        <w:gridCol w:w="663"/>
        <w:gridCol w:w="1134"/>
      </w:tblGrid>
      <w:tr w:rsidR="00784C6E" w:rsidRPr="005F05AE" w:rsidTr="00784C6E">
        <w:trPr>
          <w:trHeight w:val="300"/>
          <w:jc w:val="center"/>
        </w:trPr>
        <w:tc>
          <w:tcPr>
            <w:tcW w:w="1820" w:type="dxa"/>
            <w:tcBorders>
              <w:left w:val="single" w:sz="2" w:space="0" w:color="FFFFFF" w:themeColor="background1"/>
              <w:right w:val="single" w:sz="2" w:space="0" w:color="FFFFFF" w:themeColor="background1"/>
            </w:tcBorders>
            <w:shd w:val="clear" w:color="auto" w:fill="auto"/>
            <w:noWrap/>
            <w:vAlign w:val="bottom"/>
            <w:hideMark/>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druh</w:t>
            </w:r>
          </w:p>
        </w:tc>
        <w:tc>
          <w:tcPr>
            <w:tcW w:w="1860" w:type="dxa"/>
            <w:tcBorders>
              <w:left w:val="single" w:sz="2" w:space="0" w:color="FFFFFF" w:themeColor="background1"/>
              <w:right w:val="single" w:sz="2" w:space="0" w:color="FFFFFF" w:themeColor="background1"/>
            </w:tcBorders>
            <w:shd w:val="clear" w:color="auto" w:fill="auto"/>
            <w:noWrap/>
            <w:vAlign w:val="bottom"/>
            <w:hideMark/>
          </w:tcPr>
          <w:p w:rsidR="00784C6E" w:rsidRPr="005F05AE" w:rsidRDefault="00784C6E" w:rsidP="0017424E">
            <w:pPr>
              <w:spacing w:after="0"/>
              <w:ind w:firstLine="0"/>
              <w:contextualSpacing w:val="0"/>
              <w:jc w:val="left"/>
              <w:rPr>
                <w:rFonts w:ascii="Calibri" w:eastAsia="Times New Roman" w:hAnsi="Calibri"/>
                <w:color w:val="000000"/>
                <w:sz w:val="22"/>
                <w:szCs w:val="22"/>
              </w:rPr>
            </w:pPr>
            <w:proofErr w:type="spellStart"/>
            <w:r w:rsidRPr="005F05AE">
              <w:rPr>
                <w:rFonts w:ascii="Calibri" w:eastAsia="Times New Roman" w:hAnsi="Calibri"/>
                <w:color w:val="000000"/>
                <w:sz w:val="22"/>
                <w:szCs w:val="22"/>
              </w:rPr>
              <w:t>fenofáze</w:t>
            </w:r>
            <w:proofErr w:type="spellEnd"/>
          </w:p>
        </w:tc>
        <w:tc>
          <w:tcPr>
            <w:tcW w:w="599" w:type="dxa"/>
            <w:tcBorders>
              <w:left w:val="single" w:sz="2" w:space="0" w:color="FFFFFF" w:themeColor="background1"/>
              <w:right w:val="single" w:sz="2" w:space="0" w:color="FFFFFF" w:themeColor="background1"/>
            </w:tcBorders>
            <w:vAlign w:val="bottom"/>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den</w:t>
            </w:r>
          </w:p>
        </w:tc>
        <w:tc>
          <w:tcPr>
            <w:tcW w:w="663" w:type="dxa"/>
            <w:tcBorders>
              <w:left w:val="single" w:sz="2" w:space="0" w:color="FFFFFF" w:themeColor="background1"/>
              <w:right w:val="single" w:sz="2" w:space="0" w:color="FFFFFF" w:themeColor="background1"/>
            </w:tcBorders>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rok</w:t>
            </w:r>
          </w:p>
        </w:tc>
        <w:tc>
          <w:tcPr>
            <w:tcW w:w="1134" w:type="dxa"/>
            <w:tcBorders>
              <w:left w:val="single" w:sz="2" w:space="0" w:color="FFFFFF" w:themeColor="background1"/>
              <w:bottom w:val="single" w:sz="2" w:space="0" w:color="auto"/>
              <w:right w:val="single" w:sz="2" w:space="0" w:color="FFFFFF" w:themeColor="background1"/>
            </w:tcBorders>
            <w:shd w:val="clear" w:color="auto" w:fill="auto"/>
            <w:noWrap/>
            <w:vAlign w:val="bottom"/>
            <w:hideMark/>
          </w:tcPr>
          <w:p w:rsidR="00784C6E" w:rsidRPr="005F05AE" w:rsidRDefault="00784C6E" w:rsidP="00784C6E">
            <w:pPr>
              <w:spacing w:after="0"/>
              <w:ind w:firstLine="0"/>
              <w:contextualSpacing w:val="0"/>
              <w:jc w:val="center"/>
              <w:rPr>
                <w:rFonts w:ascii="Calibri" w:eastAsia="Times New Roman" w:hAnsi="Calibri"/>
                <w:color w:val="000000"/>
                <w:sz w:val="22"/>
                <w:szCs w:val="22"/>
              </w:rPr>
            </w:pPr>
            <w:r w:rsidRPr="005F05AE">
              <w:rPr>
                <w:rFonts w:ascii="Calibri" w:eastAsia="Times New Roman" w:hAnsi="Calibri"/>
                <w:color w:val="000000"/>
                <w:sz w:val="22"/>
                <w:szCs w:val="22"/>
              </w:rPr>
              <w:t>ΣET</w:t>
            </w:r>
          </w:p>
        </w:tc>
      </w:tr>
      <w:tr w:rsidR="00784C6E" w:rsidRPr="005F05AE" w:rsidTr="00784C6E">
        <w:trPr>
          <w:trHeight w:val="447"/>
          <w:jc w:val="center"/>
        </w:trPr>
        <w:tc>
          <w:tcPr>
            <w:tcW w:w="1820" w:type="dxa"/>
            <w:tcBorders>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lípa srdčitá</w:t>
            </w:r>
          </w:p>
        </w:tc>
        <w:tc>
          <w:tcPr>
            <w:tcW w:w="1860" w:type="dxa"/>
            <w:tcBorders>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první listy (10 %)</w:t>
            </w:r>
          </w:p>
        </w:tc>
        <w:tc>
          <w:tcPr>
            <w:tcW w:w="599" w:type="dxa"/>
            <w:tcBorders>
              <w:left w:val="single" w:sz="2" w:space="0" w:color="FFFFFF" w:themeColor="background1"/>
              <w:bottom w:val="single" w:sz="2" w:space="0" w:color="FFFFFF" w:themeColor="background1"/>
              <w:right w:val="single" w:sz="2" w:space="0" w:color="FFFFFF" w:themeColor="background1"/>
            </w:tcBorders>
            <w:vAlign w:val="bottom"/>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130</w:t>
            </w:r>
          </w:p>
        </w:tc>
        <w:tc>
          <w:tcPr>
            <w:tcW w:w="663" w:type="dxa"/>
            <w:tcBorders>
              <w:left w:val="single" w:sz="2" w:space="0" w:color="FFFFFF" w:themeColor="background1"/>
              <w:bottom w:val="single" w:sz="2" w:space="0" w:color="FFFFFF" w:themeColor="background1"/>
              <w:right w:val="single" w:sz="2" w:space="0" w:color="FFFFFF" w:themeColor="background1"/>
            </w:tcBorders>
            <w:vAlign w:val="bottom"/>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1929</w:t>
            </w:r>
          </w:p>
        </w:tc>
        <w:tc>
          <w:tcPr>
            <w:tcW w:w="1134" w:type="dxa"/>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784C6E" w:rsidRPr="005F05AE" w:rsidRDefault="00626EFE" w:rsidP="00784C6E">
            <w:pPr>
              <w:ind w:firstLine="0"/>
              <w:jc w:val="center"/>
              <w:rPr>
                <w:rFonts w:ascii="Calibri" w:hAnsi="Calibri"/>
                <w:color w:val="000000"/>
                <w:sz w:val="22"/>
                <w:szCs w:val="22"/>
              </w:rPr>
            </w:pPr>
            <w:r w:rsidRPr="005F05AE">
              <w:rPr>
                <w:rFonts w:ascii="Calibri" w:hAnsi="Calibri"/>
                <w:color w:val="000000"/>
                <w:sz w:val="22"/>
                <w:szCs w:val="22"/>
              </w:rPr>
              <w:t>159,6</w:t>
            </w:r>
          </w:p>
        </w:tc>
      </w:tr>
      <w:tr w:rsidR="00784C6E" w:rsidRPr="005F05AE" w:rsidTr="00784C6E">
        <w:trPr>
          <w:trHeight w:val="447"/>
          <w:jc w:val="center"/>
        </w:trPr>
        <w:tc>
          <w:tcPr>
            <w:tcW w:w="18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784C6E" w:rsidRPr="005F05AE" w:rsidRDefault="00784C6E" w:rsidP="0017424E">
            <w:pPr>
              <w:spacing w:after="0"/>
              <w:ind w:firstLine="0"/>
              <w:contextualSpacing w:val="0"/>
              <w:jc w:val="left"/>
              <w:rPr>
                <w:rFonts w:ascii="Calibri" w:eastAsia="Times New Roman" w:hAnsi="Calibri"/>
                <w:color w:val="000000"/>
                <w:sz w:val="22"/>
                <w:szCs w:val="22"/>
              </w:rPr>
            </w:pPr>
          </w:p>
        </w:tc>
        <w:tc>
          <w:tcPr>
            <w:tcW w:w="18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plné olistění</w:t>
            </w:r>
          </w:p>
        </w:tc>
        <w:tc>
          <w:tcPr>
            <w:tcW w:w="5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138</w:t>
            </w:r>
          </w:p>
        </w:tc>
        <w:tc>
          <w:tcPr>
            <w:tcW w:w="66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1929</w:t>
            </w: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784C6E" w:rsidRPr="005F05AE" w:rsidRDefault="00626EFE" w:rsidP="00784C6E">
            <w:pPr>
              <w:ind w:firstLine="0"/>
              <w:jc w:val="center"/>
              <w:rPr>
                <w:rFonts w:ascii="Calibri" w:hAnsi="Calibri"/>
                <w:color w:val="000000"/>
                <w:sz w:val="22"/>
                <w:szCs w:val="22"/>
              </w:rPr>
            </w:pPr>
            <w:r w:rsidRPr="005F05AE">
              <w:rPr>
                <w:rFonts w:ascii="Calibri" w:hAnsi="Calibri"/>
                <w:color w:val="000000"/>
                <w:sz w:val="22"/>
                <w:szCs w:val="22"/>
              </w:rPr>
              <w:t>233,2</w:t>
            </w:r>
          </w:p>
        </w:tc>
      </w:tr>
      <w:tr w:rsidR="00784C6E" w:rsidRPr="005F05AE" w:rsidTr="00784C6E">
        <w:trPr>
          <w:trHeight w:val="447"/>
          <w:jc w:val="center"/>
        </w:trPr>
        <w:tc>
          <w:tcPr>
            <w:tcW w:w="18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líska obecná</w:t>
            </w:r>
          </w:p>
        </w:tc>
        <w:tc>
          <w:tcPr>
            <w:tcW w:w="18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první listy (10 %)</w:t>
            </w:r>
          </w:p>
        </w:tc>
        <w:tc>
          <w:tcPr>
            <w:tcW w:w="59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130</w:t>
            </w:r>
          </w:p>
        </w:tc>
        <w:tc>
          <w:tcPr>
            <w:tcW w:w="66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1929</w:t>
            </w: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784C6E" w:rsidRPr="005F05AE" w:rsidRDefault="001422C7" w:rsidP="00784C6E">
            <w:pPr>
              <w:ind w:firstLine="0"/>
              <w:jc w:val="center"/>
              <w:rPr>
                <w:rFonts w:ascii="Calibri" w:hAnsi="Calibri"/>
                <w:color w:val="000000"/>
                <w:sz w:val="22"/>
                <w:szCs w:val="22"/>
              </w:rPr>
            </w:pPr>
            <w:r w:rsidRPr="005F05AE">
              <w:rPr>
                <w:rFonts w:ascii="Calibri" w:hAnsi="Calibri"/>
                <w:color w:val="000000"/>
                <w:sz w:val="22"/>
                <w:szCs w:val="22"/>
              </w:rPr>
              <w:t>159,6</w:t>
            </w:r>
          </w:p>
        </w:tc>
      </w:tr>
      <w:tr w:rsidR="00784C6E" w:rsidRPr="005F05AE" w:rsidTr="00784C6E">
        <w:trPr>
          <w:trHeight w:val="447"/>
          <w:jc w:val="center"/>
        </w:trPr>
        <w:tc>
          <w:tcPr>
            <w:tcW w:w="1820" w:type="dxa"/>
            <w:tcBorders>
              <w:top w:val="single" w:sz="2" w:space="0" w:color="FFFFFF" w:themeColor="background1"/>
              <w:left w:val="single" w:sz="2" w:space="0" w:color="FFFFFF" w:themeColor="background1"/>
              <w:right w:val="single" w:sz="2" w:space="0" w:color="FFFFFF" w:themeColor="background1"/>
            </w:tcBorders>
            <w:shd w:val="clear" w:color="auto" w:fill="auto"/>
            <w:noWrap/>
            <w:vAlign w:val="bottom"/>
            <w:hideMark/>
          </w:tcPr>
          <w:p w:rsidR="00784C6E" w:rsidRPr="005F05AE" w:rsidRDefault="00784C6E" w:rsidP="0017424E">
            <w:pPr>
              <w:spacing w:after="0"/>
              <w:ind w:firstLine="0"/>
              <w:contextualSpacing w:val="0"/>
              <w:jc w:val="left"/>
              <w:rPr>
                <w:rFonts w:ascii="Calibri" w:eastAsia="Times New Roman" w:hAnsi="Calibri"/>
                <w:color w:val="000000"/>
                <w:sz w:val="22"/>
                <w:szCs w:val="22"/>
              </w:rPr>
            </w:pPr>
          </w:p>
        </w:tc>
        <w:tc>
          <w:tcPr>
            <w:tcW w:w="1860" w:type="dxa"/>
            <w:tcBorders>
              <w:top w:val="single" w:sz="2" w:space="0" w:color="FFFFFF" w:themeColor="background1"/>
              <w:left w:val="single" w:sz="2" w:space="0" w:color="FFFFFF" w:themeColor="background1"/>
              <w:right w:val="single" w:sz="2" w:space="0" w:color="FFFFFF" w:themeColor="background1"/>
            </w:tcBorders>
            <w:shd w:val="clear" w:color="auto" w:fill="auto"/>
            <w:noWrap/>
            <w:vAlign w:val="bottom"/>
            <w:hideMark/>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plné olistění</w:t>
            </w:r>
          </w:p>
        </w:tc>
        <w:tc>
          <w:tcPr>
            <w:tcW w:w="599" w:type="dxa"/>
            <w:tcBorders>
              <w:top w:val="single" w:sz="2" w:space="0" w:color="FFFFFF" w:themeColor="background1"/>
              <w:left w:val="single" w:sz="2" w:space="0" w:color="FFFFFF" w:themeColor="background1"/>
              <w:right w:val="single" w:sz="2" w:space="0" w:color="FFFFFF" w:themeColor="background1"/>
            </w:tcBorders>
            <w:vAlign w:val="bottom"/>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135</w:t>
            </w:r>
          </w:p>
        </w:tc>
        <w:tc>
          <w:tcPr>
            <w:tcW w:w="663" w:type="dxa"/>
            <w:tcBorders>
              <w:top w:val="single" w:sz="2" w:space="0" w:color="FFFFFF" w:themeColor="background1"/>
              <w:left w:val="single" w:sz="2" w:space="0" w:color="FFFFFF" w:themeColor="background1"/>
              <w:right w:val="single" w:sz="2" w:space="0" w:color="FFFFFF" w:themeColor="background1"/>
            </w:tcBorders>
            <w:vAlign w:val="bottom"/>
          </w:tcPr>
          <w:p w:rsidR="00784C6E" w:rsidRPr="005F05AE" w:rsidRDefault="00784C6E" w:rsidP="0017424E">
            <w:pPr>
              <w:spacing w:after="0"/>
              <w:ind w:firstLine="0"/>
              <w:contextualSpacing w:val="0"/>
              <w:jc w:val="left"/>
              <w:rPr>
                <w:rFonts w:ascii="Calibri" w:eastAsia="Times New Roman" w:hAnsi="Calibri"/>
                <w:color w:val="000000"/>
                <w:sz w:val="22"/>
                <w:szCs w:val="22"/>
              </w:rPr>
            </w:pPr>
            <w:r w:rsidRPr="005F05AE">
              <w:rPr>
                <w:rFonts w:ascii="Calibri" w:eastAsia="Times New Roman" w:hAnsi="Calibri"/>
                <w:color w:val="000000"/>
                <w:sz w:val="22"/>
                <w:szCs w:val="22"/>
              </w:rPr>
              <w:t>1929</w:t>
            </w:r>
          </w:p>
        </w:tc>
        <w:tc>
          <w:tcPr>
            <w:tcW w:w="1134" w:type="dxa"/>
            <w:tcBorders>
              <w:top w:val="single" w:sz="2" w:space="0" w:color="FFFFFF" w:themeColor="background1"/>
              <w:left w:val="single" w:sz="2" w:space="0" w:color="FFFFFF" w:themeColor="background1"/>
              <w:bottom w:val="single" w:sz="2" w:space="0" w:color="auto"/>
              <w:right w:val="single" w:sz="2" w:space="0" w:color="FFFFFF" w:themeColor="background1"/>
            </w:tcBorders>
            <w:shd w:val="clear" w:color="auto" w:fill="auto"/>
            <w:noWrap/>
            <w:vAlign w:val="bottom"/>
            <w:hideMark/>
          </w:tcPr>
          <w:p w:rsidR="00784C6E" w:rsidRPr="005F05AE" w:rsidRDefault="001422C7" w:rsidP="00784C6E">
            <w:pPr>
              <w:ind w:firstLine="0"/>
              <w:jc w:val="center"/>
              <w:rPr>
                <w:rFonts w:ascii="Calibri" w:hAnsi="Calibri"/>
                <w:color w:val="000000"/>
                <w:sz w:val="22"/>
                <w:szCs w:val="22"/>
              </w:rPr>
            </w:pPr>
            <w:r w:rsidRPr="005F05AE">
              <w:rPr>
                <w:rFonts w:ascii="Calibri" w:hAnsi="Calibri"/>
                <w:color w:val="000000"/>
                <w:sz w:val="22"/>
                <w:szCs w:val="22"/>
              </w:rPr>
              <w:t>215,0</w:t>
            </w:r>
          </w:p>
        </w:tc>
      </w:tr>
    </w:tbl>
    <w:p w:rsidR="00AD5D46" w:rsidRPr="005F05AE" w:rsidRDefault="00AD5D46" w:rsidP="00AD5D46">
      <w:pPr>
        <w:pStyle w:val="Odstavecseseznamem"/>
        <w:ind w:left="1353" w:firstLine="0"/>
        <w:jc w:val="left"/>
      </w:pPr>
    </w:p>
    <w:p w:rsidR="005F05AE" w:rsidRDefault="005F05AE" w:rsidP="00AD5D46">
      <w:pPr>
        <w:pStyle w:val="Odstavecseseznamem"/>
        <w:ind w:left="1353" w:firstLine="0"/>
        <w:jc w:val="left"/>
      </w:pPr>
    </w:p>
    <w:p w:rsidR="005F05AE" w:rsidRDefault="005F05AE" w:rsidP="00AD5D46">
      <w:pPr>
        <w:pStyle w:val="Odstavecseseznamem"/>
        <w:ind w:left="1353" w:firstLine="0"/>
        <w:jc w:val="left"/>
      </w:pPr>
    </w:p>
    <w:p w:rsidR="00AD5D46" w:rsidRDefault="005F05AE" w:rsidP="00AD5D46">
      <w:pPr>
        <w:pStyle w:val="Odstavecseseznamem"/>
        <w:ind w:left="1353" w:firstLine="0"/>
        <w:jc w:val="left"/>
      </w:pPr>
      <w:r>
        <w:t>Konec zimy a jaro roku 1929 bylo ……………… než stejné období roku 2015.</w:t>
      </w:r>
    </w:p>
    <w:p w:rsidR="005F05AE" w:rsidRDefault="005F05AE">
      <w:pPr>
        <w:spacing w:line="276" w:lineRule="auto"/>
        <w:ind w:firstLine="0"/>
        <w:contextualSpacing w:val="0"/>
        <w:jc w:val="left"/>
      </w:pPr>
      <w:r>
        <w:br w:type="page"/>
      </w:r>
    </w:p>
    <w:p w:rsidR="005F05AE" w:rsidRPr="005F05AE" w:rsidRDefault="005F05AE" w:rsidP="00AD5D46">
      <w:pPr>
        <w:pStyle w:val="Odstavecseseznamem"/>
        <w:ind w:left="1353" w:firstLine="0"/>
        <w:jc w:val="left"/>
      </w:pPr>
    </w:p>
    <w:p w:rsidR="00AD5D46" w:rsidRPr="005F05AE" w:rsidRDefault="005F05AE" w:rsidP="00AD5D46">
      <w:pPr>
        <w:pStyle w:val="Odstavecseseznamem"/>
        <w:numPr>
          <w:ilvl w:val="0"/>
          <w:numId w:val="5"/>
        </w:numPr>
        <w:ind w:left="993" w:hanging="567"/>
        <w:jc w:val="left"/>
      </w:pPr>
      <w:r>
        <w:t xml:space="preserve">Určete aktuální </w:t>
      </w:r>
      <w:proofErr w:type="spellStart"/>
      <w:r>
        <w:t>fenofázi</w:t>
      </w:r>
      <w:proofErr w:type="spellEnd"/>
      <w:r>
        <w:t xml:space="preserve"> dřevin.</w:t>
      </w:r>
    </w:p>
    <w:p w:rsidR="00AD5D46" w:rsidRPr="005F05AE" w:rsidRDefault="00AD5D46" w:rsidP="00AD5D46">
      <w:pPr>
        <w:pStyle w:val="Odstavecseseznamem"/>
        <w:ind w:left="1353" w:firstLine="0"/>
        <w:jc w:val="left"/>
      </w:pPr>
    </w:p>
    <w:p w:rsidR="00001FA0" w:rsidRDefault="001979D8" w:rsidP="00001FA0">
      <w:pPr>
        <w:pStyle w:val="Odstavecseseznamem"/>
        <w:numPr>
          <w:ilvl w:val="0"/>
          <w:numId w:val="7"/>
        </w:numPr>
      </w:pPr>
      <w:r>
        <w:t xml:space="preserve">Vyhledejte v NAP následující dřeviny a odhadněte </w:t>
      </w:r>
      <w:proofErr w:type="spellStart"/>
      <w:r>
        <w:t>fenofázi</w:t>
      </w:r>
      <w:proofErr w:type="spellEnd"/>
      <w:r>
        <w:t xml:space="preserve">, ve které se právě nacházejí. Využijte popis jednotlivých </w:t>
      </w:r>
      <w:proofErr w:type="spellStart"/>
      <w:r>
        <w:t>fenofází</w:t>
      </w:r>
      <w:proofErr w:type="spellEnd"/>
      <w:r>
        <w:t xml:space="preserve"> přiložených na konci </w:t>
      </w:r>
      <w:r w:rsidRPr="005F05AE">
        <w:t>tohoto cvičení</w:t>
      </w:r>
      <w:r>
        <w:t>.</w:t>
      </w:r>
    </w:p>
    <w:tbl>
      <w:tblPr>
        <w:tblStyle w:val="Mkatabulky"/>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1526"/>
        <w:gridCol w:w="2322"/>
        <w:gridCol w:w="1505"/>
        <w:gridCol w:w="1134"/>
        <w:gridCol w:w="3135"/>
      </w:tblGrid>
      <w:tr w:rsidR="00945ABB" w:rsidTr="00145EC1">
        <w:tc>
          <w:tcPr>
            <w:tcW w:w="1526" w:type="dxa"/>
          </w:tcPr>
          <w:p w:rsidR="00945ABB" w:rsidRDefault="00945ABB" w:rsidP="0017424E">
            <w:pPr>
              <w:ind w:firstLine="0"/>
            </w:pPr>
            <w:r>
              <w:t>druh</w:t>
            </w:r>
          </w:p>
        </w:tc>
        <w:tc>
          <w:tcPr>
            <w:tcW w:w="2322" w:type="dxa"/>
          </w:tcPr>
          <w:p w:rsidR="00945ABB" w:rsidRDefault="00945ABB" w:rsidP="0017424E">
            <w:pPr>
              <w:ind w:firstLine="0"/>
            </w:pPr>
          </w:p>
        </w:tc>
        <w:tc>
          <w:tcPr>
            <w:tcW w:w="1505" w:type="dxa"/>
          </w:tcPr>
          <w:p w:rsidR="00945ABB" w:rsidRDefault="00945ABB" w:rsidP="00145EC1">
            <w:pPr>
              <w:ind w:firstLine="0"/>
              <w:jc w:val="center"/>
            </w:pPr>
            <w:r>
              <w:t>datum</w:t>
            </w:r>
          </w:p>
        </w:tc>
        <w:tc>
          <w:tcPr>
            <w:tcW w:w="1134" w:type="dxa"/>
          </w:tcPr>
          <w:p w:rsidR="00945ABB" w:rsidRDefault="00945ABB" w:rsidP="00145EC1">
            <w:pPr>
              <w:ind w:firstLine="0"/>
              <w:jc w:val="center"/>
            </w:pPr>
            <w:r>
              <w:t>den</w:t>
            </w:r>
          </w:p>
        </w:tc>
        <w:tc>
          <w:tcPr>
            <w:tcW w:w="3135" w:type="dxa"/>
          </w:tcPr>
          <w:p w:rsidR="00945ABB" w:rsidRDefault="00945ABB" w:rsidP="00145EC1">
            <w:pPr>
              <w:ind w:firstLine="0"/>
              <w:jc w:val="center"/>
            </w:pPr>
            <w:proofErr w:type="spellStart"/>
            <w:r>
              <w:t>fenofáze</w:t>
            </w:r>
            <w:proofErr w:type="spellEnd"/>
          </w:p>
        </w:tc>
      </w:tr>
      <w:tr w:rsidR="00145EC1" w:rsidTr="00145EC1">
        <w:tc>
          <w:tcPr>
            <w:tcW w:w="1526" w:type="dxa"/>
          </w:tcPr>
          <w:p w:rsidR="00145EC1" w:rsidRDefault="00145EC1" w:rsidP="0017424E">
            <w:pPr>
              <w:ind w:firstLine="0"/>
            </w:pPr>
          </w:p>
        </w:tc>
        <w:tc>
          <w:tcPr>
            <w:tcW w:w="2322" w:type="dxa"/>
          </w:tcPr>
          <w:p w:rsidR="00145EC1" w:rsidRDefault="00145EC1" w:rsidP="0017424E">
            <w:pPr>
              <w:ind w:firstLine="0"/>
            </w:pPr>
          </w:p>
        </w:tc>
        <w:tc>
          <w:tcPr>
            <w:tcW w:w="1505" w:type="dxa"/>
          </w:tcPr>
          <w:p w:rsidR="00145EC1" w:rsidRDefault="00145EC1" w:rsidP="00145EC1">
            <w:pPr>
              <w:ind w:firstLine="0"/>
              <w:jc w:val="center"/>
            </w:pPr>
          </w:p>
        </w:tc>
        <w:tc>
          <w:tcPr>
            <w:tcW w:w="1134" w:type="dxa"/>
          </w:tcPr>
          <w:p w:rsidR="00145EC1" w:rsidRDefault="00145EC1" w:rsidP="00145EC1">
            <w:pPr>
              <w:ind w:firstLine="0"/>
              <w:jc w:val="center"/>
            </w:pPr>
          </w:p>
        </w:tc>
        <w:tc>
          <w:tcPr>
            <w:tcW w:w="3135" w:type="dxa"/>
          </w:tcPr>
          <w:p w:rsidR="00145EC1" w:rsidRDefault="00145EC1" w:rsidP="00145EC1">
            <w:pPr>
              <w:ind w:firstLine="0"/>
              <w:jc w:val="center"/>
            </w:pPr>
          </w:p>
        </w:tc>
      </w:tr>
      <w:tr w:rsidR="00945ABB" w:rsidTr="00145EC1">
        <w:trPr>
          <w:trHeight w:val="591"/>
        </w:trPr>
        <w:tc>
          <w:tcPr>
            <w:tcW w:w="1526" w:type="dxa"/>
          </w:tcPr>
          <w:p w:rsidR="00945ABB" w:rsidRDefault="00945ABB" w:rsidP="0017424E">
            <w:pPr>
              <w:ind w:firstLine="0"/>
            </w:pPr>
            <w:r>
              <w:t>javor mléč</w:t>
            </w:r>
          </w:p>
        </w:tc>
        <w:tc>
          <w:tcPr>
            <w:tcW w:w="2322" w:type="dxa"/>
          </w:tcPr>
          <w:p w:rsidR="00945ABB" w:rsidRDefault="00945ABB" w:rsidP="0017424E">
            <w:pPr>
              <w:ind w:firstLine="0"/>
            </w:pPr>
            <w:r>
              <w:t xml:space="preserve">(Acer </w:t>
            </w:r>
            <w:proofErr w:type="spellStart"/>
            <w:r>
              <w:t>platanoides</w:t>
            </w:r>
            <w:proofErr w:type="spellEnd"/>
            <w:r>
              <w:t>)</w:t>
            </w:r>
          </w:p>
        </w:tc>
        <w:tc>
          <w:tcPr>
            <w:tcW w:w="1505" w:type="dxa"/>
          </w:tcPr>
          <w:p w:rsidR="00945ABB" w:rsidRDefault="00145EC1" w:rsidP="0017424E">
            <w:pPr>
              <w:ind w:firstLine="0"/>
            </w:pPr>
            <w:r>
              <w:t>……………</w:t>
            </w:r>
          </w:p>
        </w:tc>
        <w:tc>
          <w:tcPr>
            <w:tcW w:w="1134" w:type="dxa"/>
          </w:tcPr>
          <w:p w:rsidR="00945ABB" w:rsidRDefault="00145EC1" w:rsidP="0017424E">
            <w:pPr>
              <w:ind w:firstLine="0"/>
            </w:pPr>
            <w:r>
              <w:t>………...</w:t>
            </w:r>
          </w:p>
        </w:tc>
        <w:tc>
          <w:tcPr>
            <w:tcW w:w="3135" w:type="dxa"/>
          </w:tcPr>
          <w:p w:rsidR="00945ABB" w:rsidRDefault="00145EC1" w:rsidP="0017424E">
            <w:pPr>
              <w:ind w:firstLine="0"/>
            </w:pPr>
            <w:r>
              <w:t>……………………………..</w:t>
            </w:r>
          </w:p>
        </w:tc>
      </w:tr>
      <w:tr w:rsidR="00945ABB" w:rsidTr="00145EC1">
        <w:trPr>
          <w:trHeight w:val="591"/>
        </w:trPr>
        <w:tc>
          <w:tcPr>
            <w:tcW w:w="1526" w:type="dxa"/>
          </w:tcPr>
          <w:p w:rsidR="00945ABB" w:rsidRDefault="00945ABB" w:rsidP="0017424E">
            <w:pPr>
              <w:ind w:firstLine="0"/>
            </w:pPr>
            <w:r>
              <w:t>lípa srdčitá</w:t>
            </w:r>
          </w:p>
        </w:tc>
        <w:tc>
          <w:tcPr>
            <w:tcW w:w="2322" w:type="dxa"/>
          </w:tcPr>
          <w:p w:rsidR="00945ABB" w:rsidRDefault="00945ABB" w:rsidP="0017424E">
            <w:pPr>
              <w:ind w:firstLine="0"/>
            </w:pPr>
            <w:r>
              <w:t>(</w:t>
            </w:r>
            <w:proofErr w:type="spellStart"/>
            <w:r>
              <w:t>Tilia</w:t>
            </w:r>
            <w:proofErr w:type="spellEnd"/>
            <w:r>
              <w:t xml:space="preserve"> </w:t>
            </w:r>
            <w:proofErr w:type="spellStart"/>
            <w:r>
              <w:t>cordata</w:t>
            </w:r>
            <w:proofErr w:type="spellEnd"/>
            <w:r>
              <w:t>)</w:t>
            </w:r>
          </w:p>
        </w:tc>
        <w:tc>
          <w:tcPr>
            <w:tcW w:w="1505" w:type="dxa"/>
          </w:tcPr>
          <w:p w:rsidR="00945ABB" w:rsidRDefault="00145EC1" w:rsidP="0017424E">
            <w:pPr>
              <w:ind w:firstLine="0"/>
            </w:pPr>
            <w:r>
              <w:t>……………</w:t>
            </w:r>
          </w:p>
        </w:tc>
        <w:tc>
          <w:tcPr>
            <w:tcW w:w="1134" w:type="dxa"/>
          </w:tcPr>
          <w:p w:rsidR="00945ABB" w:rsidRDefault="00145EC1" w:rsidP="0017424E">
            <w:pPr>
              <w:ind w:firstLine="0"/>
            </w:pPr>
            <w:r>
              <w:t>………...</w:t>
            </w:r>
          </w:p>
        </w:tc>
        <w:tc>
          <w:tcPr>
            <w:tcW w:w="3135" w:type="dxa"/>
          </w:tcPr>
          <w:p w:rsidR="00945ABB" w:rsidRDefault="00145EC1" w:rsidP="0017424E">
            <w:pPr>
              <w:ind w:firstLine="0"/>
            </w:pPr>
            <w:r>
              <w:t>……………………………..</w:t>
            </w:r>
          </w:p>
        </w:tc>
      </w:tr>
      <w:tr w:rsidR="00945ABB" w:rsidTr="00145EC1">
        <w:trPr>
          <w:trHeight w:val="591"/>
        </w:trPr>
        <w:tc>
          <w:tcPr>
            <w:tcW w:w="1526" w:type="dxa"/>
          </w:tcPr>
          <w:p w:rsidR="00945ABB" w:rsidRDefault="00945ABB" w:rsidP="0017424E">
            <w:pPr>
              <w:ind w:firstLine="0"/>
            </w:pPr>
            <w:r>
              <w:t>líska obecná</w:t>
            </w:r>
          </w:p>
        </w:tc>
        <w:tc>
          <w:tcPr>
            <w:tcW w:w="2322" w:type="dxa"/>
          </w:tcPr>
          <w:p w:rsidR="00945ABB" w:rsidRDefault="00945ABB" w:rsidP="0017424E">
            <w:pPr>
              <w:ind w:firstLine="0"/>
            </w:pPr>
            <w:r>
              <w:t>(</w:t>
            </w:r>
            <w:proofErr w:type="spellStart"/>
            <w:r>
              <w:t>Corylus</w:t>
            </w:r>
            <w:proofErr w:type="spellEnd"/>
            <w:r>
              <w:t xml:space="preserve"> </w:t>
            </w:r>
            <w:proofErr w:type="spellStart"/>
            <w:r>
              <w:t>avellana</w:t>
            </w:r>
            <w:proofErr w:type="spellEnd"/>
            <w:r>
              <w:t>)</w:t>
            </w:r>
          </w:p>
        </w:tc>
        <w:tc>
          <w:tcPr>
            <w:tcW w:w="1505" w:type="dxa"/>
          </w:tcPr>
          <w:p w:rsidR="00945ABB" w:rsidRDefault="00145EC1" w:rsidP="0017424E">
            <w:pPr>
              <w:ind w:firstLine="0"/>
            </w:pPr>
            <w:r>
              <w:t>……………</w:t>
            </w:r>
          </w:p>
        </w:tc>
        <w:tc>
          <w:tcPr>
            <w:tcW w:w="1134" w:type="dxa"/>
          </w:tcPr>
          <w:p w:rsidR="00945ABB" w:rsidRDefault="00145EC1" w:rsidP="0017424E">
            <w:pPr>
              <w:ind w:firstLine="0"/>
            </w:pPr>
            <w:r>
              <w:t>………...</w:t>
            </w:r>
          </w:p>
        </w:tc>
        <w:tc>
          <w:tcPr>
            <w:tcW w:w="3135" w:type="dxa"/>
          </w:tcPr>
          <w:p w:rsidR="00945ABB" w:rsidRDefault="00145EC1" w:rsidP="0017424E">
            <w:pPr>
              <w:ind w:firstLine="0"/>
            </w:pPr>
            <w:r>
              <w:t>……………………………..</w:t>
            </w:r>
          </w:p>
        </w:tc>
      </w:tr>
    </w:tbl>
    <w:p w:rsidR="0017424E" w:rsidRDefault="0017424E" w:rsidP="0017424E"/>
    <w:p w:rsidR="0017424E" w:rsidRDefault="0017424E" w:rsidP="0017424E"/>
    <w:p w:rsidR="0017424E" w:rsidRDefault="0017424E" w:rsidP="0017424E"/>
    <w:p w:rsidR="0017424E" w:rsidRPr="005F05AE" w:rsidRDefault="0017424E" w:rsidP="0017424E"/>
    <w:p w:rsidR="00001FA0" w:rsidRPr="005F05AE" w:rsidRDefault="00001FA0" w:rsidP="00001FA0"/>
    <w:p w:rsidR="005F05AE" w:rsidRPr="005F05AE" w:rsidRDefault="005F05AE" w:rsidP="005F05AE">
      <w:pPr>
        <w:pStyle w:val="Odstavecseseznamem"/>
        <w:ind w:left="0" w:firstLine="0"/>
        <w:jc w:val="left"/>
        <w:rPr>
          <w:b/>
        </w:rPr>
      </w:pPr>
      <w:r w:rsidRPr="005F05AE">
        <w:rPr>
          <w:b/>
        </w:rPr>
        <w:t>Nápověda!</w:t>
      </w:r>
    </w:p>
    <w:p w:rsidR="005F05AE" w:rsidRPr="005F05AE" w:rsidRDefault="005F05AE" w:rsidP="005F05AE">
      <w:pPr>
        <w:pStyle w:val="Odstavecseseznamem"/>
        <w:ind w:left="0" w:firstLine="0"/>
        <w:jc w:val="left"/>
        <w:rPr>
          <w:b/>
        </w:rPr>
      </w:pPr>
    </w:p>
    <w:p w:rsidR="005F05AE" w:rsidRPr="0017424E" w:rsidRDefault="005F05AE" w:rsidP="005F05AE">
      <w:pPr>
        <w:pStyle w:val="Odstavecseseznamem"/>
        <w:numPr>
          <w:ilvl w:val="0"/>
          <w:numId w:val="9"/>
        </w:numPr>
        <w:jc w:val="left"/>
      </w:pPr>
      <w:r w:rsidRPr="005F05AE">
        <w:t>Suma efektivních teplot (</w:t>
      </w:r>
      <w:r w:rsidRPr="005F05AE">
        <w:rPr>
          <w:rFonts w:ascii="Calibri" w:eastAsia="Times New Roman" w:hAnsi="Calibri"/>
          <w:color w:val="000000"/>
          <w:sz w:val="22"/>
          <w:szCs w:val="22"/>
        </w:rPr>
        <w:t xml:space="preserve">ΣET) je suma </w:t>
      </w:r>
      <w:r>
        <w:rPr>
          <w:rFonts w:ascii="Calibri" w:eastAsia="Times New Roman" w:hAnsi="Calibri"/>
          <w:color w:val="000000"/>
          <w:sz w:val="22"/>
          <w:szCs w:val="22"/>
        </w:rPr>
        <w:t>kladných rozdílů průměrných denních teplot od biologického minima, tzn. 5 °C. To znamená, že se postupně sčítají všechny teploty větší než 5 °C snížené právě o 5 °C. Například, suma efektivních teplot pro řadu měřených teplot -2, 0, 6 a 10 °C je rovna 0+0+1+5 = 6.</w:t>
      </w:r>
    </w:p>
    <w:p w:rsidR="0017424E" w:rsidRDefault="0017424E">
      <w:pPr>
        <w:spacing w:line="276" w:lineRule="auto"/>
        <w:ind w:firstLine="0"/>
        <w:contextualSpacing w:val="0"/>
        <w:jc w:val="left"/>
        <w:rPr>
          <w:rFonts w:ascii="Calibri" w:eastAsia="Times New Roman" w:hAnsi="Calibri"/>
          <w:color w:val="000000"/>
          <w:sz w:val="22"/>
          <w:szCs w:val="22"/>
        </w:rPr>
      </w:pPr>
      <w:r>
        <w:rPr>
          <w:rFonts w:ascii="Calibri" w:eastAsia="Times New Roman" w:hAnsi="Calibri"/>
          <w:color w:val="000000"/>
          <w:sz w:val="22"/>
          <w:szCs w:val="22"/>
        </w:rPr>
        <w:br w:type="page"/>
      </w:r>
    </w:p>
    <w:tbl>
      <w:tblPr>
        <w:tblW w:w="9322" w:type="dxa"/>
        <w:tblInd w:w="93" w:type="dxa"/>
        <w:tblLook w:val="04A0" w:firstRow="1" w:lastRow="0" w:firstColumn="1" w:lastColumn="0" w:noHBand="0" w:noVBand="1"/>
      </w:tblPr>
      <w:tblGrid>
        <w:gridCol w:w="554"/>
        <w:gridCol w:w="891"/>
        <w:gridCol w:w="739"/>
        <w:gridCol w:w="808"/>
        <w:gridCol w:w="222"/>
        <w:gridCol w:w="554"/>
        <w:gridCol w:w="772"/>
        <w:gridCol w:w="740"/>
        <w:gridCol w:w="800"/>
        <w:gridCol w:w="260"/>
        <w:gridCol w:w="550"/>
        <w:gridCol w:w="772"/>
        <w:gridCol w:w="780"/>
        <w:gridCol w:w="880"/>
      </w:tblGrid>
      <w:tr w:rsidR="00945ABB" w:rsidRPr="00945ABB" w:rsidTr="00945ABB">
        <w:trPr>
          <w:trHeight w:val="255"/>
        </w:trPr>
        <w:tc>
          <w:tcPr>
            <w:tcW w:w="9322" w:type="dxa"/>
            <w:gridSpan w:val="14"/>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roofErr w:type="spellStart"/>
            <w:r w:rsidRPr="00945ABB">
              <w:rPr>
                <w:rFonts w:ascii="Arial" w:eastAsia="Times New Roman" w:hAnsi="Arial" w:cs="Arial"/>
                <w:b/>
                <w:sz w:val="20"/>
                <w:szCs w:val="20"/>
                <w:lang w:val="en-US"/>
              </w:rPr>
              <w:lastRenderedPageBreak/>
              <w:t>Průměrné</w:t>
            </w:r>
            <w:proofErr w:type="spellEnd"/>
            <w:r w:rsidRPr="00945ABB">
              <w:rPr>
                <w:rFonts w:ascii="Arial" w:eastAsia="Times New Roman" w:hAnsi="Arial" w:cs="Arial"/>
                <w:b/>
                <w:sz w:val="20"/>
                <w:szCs w:val="20"/>
                <w:lang w:val="en-US"/>
              </w:rPr>
              <w:t xml:space="preserve"> </w:t>
            </w:r>
            <w:proofErr w:type="spellStart"/>
            <w:r w:rsidRPr="00945ABB">
              <w:rPr>
                <w:rFonts w:ascii="Arial" w:eastAsia="Times New Roman" w:hAnsi="Arial" w:cs="Arial"/>
                <w:b/>
                <w:sz w:val="20"/>
                <w:szCs w:val="20"/>
                <w:lang w:val="en-US"/>
              </w:rPr>
              <w:t>denní</w:t>
            </w:r>
            <w:proofErr w:type="spellEnd"/>
            <w:r w:rsidRPr="00945ABB">
              <w:rPr>
                <w:rFonts w:ascii="Arial" w:eastAsia="Times New Roman" w:hAnsi="Arial" w:cs="Arial"/>
                <w:b/>
                <w:sz w:val="20"/>
                <w:szCs w:val="20"/>
                <w:lang w:val="en-US"/>
              </w:rPr>
              <w:t xml:space="preserve"> </w:t>
            </w:r>
            <w:proofErr w:type="spellStart"/>
            <w:r w:rsidRPr="00945ABB">
              <w:rPr>
                <w:rFonts w:ascii="Arial" w:eastAsia="Times New Roman" w:hAnsi="Arial" w:cs="Arial"/>
                <w:b/>
                <w:sz w:val="20"/>
                <w:szCs w:val="20"/>
                <w:lang w:val="en-US"/>
              </w:rPr>
              <w:t>teploty</w:t>
            </w:r>
            <w:proofErr w:type="spellEnd"/>
            <w:r w:rsidRPr="00945ABB">
              <w:rPr>
                <w:rFonts w:ascii="Arial" w:eastAsia="Times New Roman" w:hAnsi="Arial" w:cs="Arial"/>
                <w:b/>
                <w:sz w:val="20"/>
                <w:szCs w:val="20"/>
                <w:lang w:val="en-US"/>
              </w:rPr>
              <w:t xml:space="preserve"> </w:t>
            </w:r>
            <w:proofErr w:type="spellStart"/>
            <w:r w:rsidRPr="00945ABB">
              <w:rPr>
                <w:rFonts w:ascii="Arial" w:eastAsia="Times New Roman" w:hAnsi="Arial" w:cs="Arial"/>
                <w:b/>
                <w:sz w:val="20"/>
                <w:szCs w:val="20"/>
                <w:lang w:val="en-US"/>
              </w:rPr>
              <w:t>vzduchu</w:t>
            </w:r>
            <w:proofErr w:type="spellEnd"/>
            <w:r w:rsidRPr="00945ABB">
              <w:rPr>
                <w:rFonts w:ascii="Arial" w:eastAsia="Times New Roman" w:hAnsi="Arial" w:cs="Arial"/>
                <w:b/>
                <w:sz w:val="20"/>
                <w:szCs w:val="20"/>
                <w:lang w:val="en-US"/>
              </w:rPr>
              <w:t xml:space="preserve"> (°C)</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891"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1547" w:type="dxa"/>
            <w:gridSpan w:val="2"/>
            <w:tcBorders>
              <w:bottom w:val="single" w:sz="2" w:space="0" w:color="auto"/>
            </w:tcBorders>
            <w:shd w:val="clear" w:color="auto" w:fill="auto"/>
            <w:noWrap/>
            <w:vAlign w:val="bottom"/>
            <w:hideMark/>
          </w:tcPr>
          <w:p w:rsidR="00945ABB" w:rsidRPr="00945ABB" w:rsidRDefault="00945ABB" w:rsidP="00945ABB">
            <w:pPr>
              <w:spacing w:after="0"/>
              <w:ind w:firstLine="0"/>
              <w:contextualSpacing w:val="0"/>
              <w:jc w:val="center"/>
              <w:rPr>
                <w:rFonts w:ascii="Arial" w:eastAsia="Times New Roman" w:hAnsi="Arial" w:cs="Arial"/>
                <w:sz w:val="20"/>
                <w:szCs w:val="20"/>
                <w:lang w:val="en-US"/>
              </w:rPr>
            </w:pPr>
            <w:proofErr w:type="spellStart"/>
            <w:r w:rsidRPr="00945ABB">
              <w:rPr>
                <w:rFonts w:ascii="Arial" w:eastAsia="Times New Roman" w:hAnsi="Arial" w:cs="Arial"/>
                <w:sz w:val="20"/>
                <w:szCs w:val="20"/>
                <w:lang w:val="en-US"/>
              </w:rPr>
              <w:t>rok</w:t>
            </w:r>
            <w:proofErr w:type="spellEnd"/>
          </w:p>
        </w:tc>
        <w:tc>
          <w:tcPr>
            <w:tcW w:w="222"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72"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1540" w:type="dxa"/>
            <w:gridSpan w:val="2"/>
            <w:tcBorders>
              <w:bottom w:val="single" w:sz="2" w:space="0" w:color="auto"/>
            </w:tcBorders>
            <w:shd w:val="clear" w:color="auto" w:fill="auto"/>
            <w:noWrap/>
            <w:vAlign w:val="bottom"/>
            <w:hideMark/>
          </w:tcPr>
          <w:p w:rsidR="00945ABB" w:rsidRPr="00945ABB" w:rsidRDefault="00945ABB" w:rsidP="00945ABB">
            <w:pPr>
              <w:spacing w:after="0"/>
              <w:ind w:firstLine="0"/>
              <w:contextualSpacing w:val="0"/>
              <w:jc w:val="center"/>
              <w:rPr>
                <w:rFonts w:ascii="Arial" w:eastAsia="Times New Roman" w:hAnsi="Arial" w:cs="Arial"/>
                <w:sz w:val="20"/>
                <w:szCs w:val="20"/>
                <w:lang w:val="en-US"/>
              </w:rPr>
            </w:pPr>
            <w:proofErr w:type="spellStart"/>
            <w:r w:rsidRPr="00945ABB">
              <w:rPr>
                <w:rFonts w:ascii="Arial" w:eastAsia="Times New Roman" w:hAnsi="Arial" w:cs="Arial"/>
                <w:sz w:val="20"/>
                <w:szCs w:val="20"/>
                <w:lang w:val="en-US"/>
              </w:rPr>
              <w:t>rok</w:t>
            </w:r>
            <w:proofErr w:type="spellEnd"/>
          </w:p>
        </w:tc>
        <w:tc>
          <w:tcPr>
            <w:tcW w:w="26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72"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1660" w:type="dxa"/>
            <w:gridSpan w:val="2"/>
            <w:tcBorders>
              <w:bottom w:val="single" w:sz="2" w:space="0" w:color="auto"/>
            </w:tcBorders>
            <w:shd w:val="clear" w:color="auto" w:fill="auto"/>
            <w:noWrap/>
            <w:vAlign w:val="bottom"/>
            <w:hideMark/>
          </w:tcPr>
          <w:p w:rsidR="00945ABB" w:rsidRPr="00945ABB" w:rsidRDefault="00945ABB" w:rsidP="00945ABB">
            <w:pPr>
              <w:spacing w:after="0"/>
              <w:ind w:firstLine="0"/>
              <w:contextualSpacing w:val="0"/>
              <w:jc w:val="center"/>
              <w:rPr>
                <w:rFonts w:ascii="Arial" w:eastAsia="Times New Roman" w:hAnsi="Arial" w:cs="Arial"/>
                <w:sz w:val="20"/>
                <w:szCs w:val="20"/>
                <w:lang w:val="en-US"/>
              </w:rPr>
            </w:pPr>
            <w:proofErr w:type="spellStart"/>
            <w:r w:rsidRPr="00945ABB">
              <w:rPr>
                <w:rFonts w:ascii="Arial" w:eastAsia="Times New Roman" w:hAnsi="Arial" w:cs="Arial"/>
                <w:sz w:val="20"/>
                <w:szCs w:val="20"/>
                <w:lang w:val="en-US"/>
              </w:rPr>
              <w:t>rok</w:t>
            </w:r>
            <w:proofErr w:type="spellEnd"/>
          </w:p>
        </w:tc>
      </w:tr>
      <w:tr w:rsidR="00945ABB" w:rsidRPr="00945ABB" w:rsidTr="00945ABB">
        <w:trPr>
          <w:trHeight w:val="255"/>
        </w:trPr>
        <w:tc>
          <w:tcPr>
            <w:tcW w:w="554" w:type="dxa"/>
            <w:tcBorders>
              <w:bottom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r w:rsidRPr="00945ABB">
              <w:rPr>
                <w:rFonts w:ascii="Arial" w:eastAsia="Times New Roman" w:hAnsi="Arial" w:cs="Arial"/>
                <w:sz w:val="20"/>
                <w:szCs w:val="20"/>
                <w:lang w:val="en-US"/>
              </w:rPr>
              <w:t>den</w:t>
            </w:r>
          </w:p>
        </w:tc>
        <w:tc>
          <w:tcPr>
            <w:tcW w:w="891" w:type="dxa"/>
            <w:tcBorders>
              <w:bottom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r w:rsidRPr="00945ABB">
              <w:rPr>
                <w:rFonts w:ascii="Arial" w:eastAsia="Times New Roman" w:hAnsi="Arial" w:cs="Arial"/>
                <w:sz w:val="20"/>
                <w:szCs w:val="20"/>
                <w:lang w:val="en-US"/>
              </w:rPr>
              <w:t>datum</w:t>
            </w:r>
          </w:p>
        </w:tc>
        <w:tc>
          <w:tcPr>
            <w:tcW w:w="739" w:type="dxa"/>
            <w:tcBorders>
              <w:top w:val="single" w:sz="2" w:space="0" w:color="auto"/>
              <w:bottom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1929</w:t>
            </w:r>
          </w:p>
        </w:tc>
        <w:tc>
          <w:tcPr>
            <w:tcW w:w="808" w:type="dxa"/>
            <w:tcBorders>
              <w:top w:val="single" w:sz="2" w:space="0" w:color="auto"/>
              <w:bottom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2015</w:t>
            </w:r>
          </w:p>
        </w:tc>
        <w:tc>
          <w:tcPr>
            <w:tcW w:w="222"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bottom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r w:rsidRPr="00945ABB">
              <w:rPr>
                <w:rFonts w:ascii="Arial" w:eastAsia="Times New Roman" w:hAnsi="Arial" w:cs="Arial"/>
                <w:sz w:val="20"/>
                <w:szCs w:val="20"/>
                <w:lang w:val="en-US"/>
              </w:rPr>
              <w:t>den</w:t>
            </w:r>
          </w:p>
        </w:tc>
        <w:tc>
          <w:tcPr>
            <w:tcW w:w="772" w:type="dxa"/>
            <w:tcBorders>
              <w:bottom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r w:rsidRPr="00945ABB">
              <w:rPr>
                <w:rFonts w:ascii="Arial" w:eastAsia="Times New Roman" w:hAnsi="Arial" w:cs="Arial"/>
                <w:sz w:val="20"/>
                <w:szCs w:val="20"/>
                <w:lang w:val="en-US"/>
              </w:rPr>
              <w:t>datum</w:t>
            </w:r>
          </w:p>
        </w:tc>
        <w:tc>
          <w:tcPr>
            <w:tcW w:w="740" w:type="dxa"/>
            <w:tcBorders>
              <w:top w:val="single" w:sz="2" w:space="0" w:color="auto"/>
              <w:bottom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1929</w:t>
            </w:r>
          </w:p>
        </w:tc>
        <w:tc>
          <w:tcPr>
            <w:tcW w:w="800" w:type="dxa"/>
            <w:tcBorders>
              <w:top w:val="single" w:sz="2" w:space="0" w:color="auto"/>
              <w:bottom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2015</w:t>
            </w:r>
          </w:p>
        </w:tc>
        <w:tc>
          <w:tcPr>
            <w:tcW w:w="26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bottom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r w:rsidRPr="00945ABB">
              <w:rPr>
                <w:rFonts w:ascii="Arial" w:eastAsia="Times New Roman" w:hAnsi="Arial" w:cs="Arial"/>
                <w:sz w:val="20"/>
                <w:szCs w:val="20"/>
                <w:lang w:val="en-US"/>
              </w:rPr>
              <w:t>den</w:t>
            </w:r>
          </w:p>
        </w:tc>
        <w:tc>
          <w:tcPr>
            <w:tcW w:w="772" w:type="dxa"/>
            <w:tcBorders>
              <w:bottom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r w:rsidRPr="00945ABB">
              <w:rPr>
                <w:rFonts w:ascii="Arial" w:eastAsia="Times New Roman" w:hAnsi="Arial" w:cs="Arial"/>
                <w:sz w:val="20"/>
                <w:szCs w:val="20"/>
                <w:lang w:val="en-US"/>
              </w:rPr>
              <w:t>datum</w:t>
            </w:r>
          </w:p>
        </w:tc>
        <w:tc>
          <w:tcPr>
            <w:tcW w:w="780" w:type="dxa"/>
            <w:tcBorders>
              <w:top w:val="single" w:sz="2" w:space="0" w:color="auto"/>
              <w:bottom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1929</w:t>
            </w:r>
          </w:p>
        </w:tc>
        <w:tc>
          <w:tcPr>
            <w:tcW w:w="880" w:type="dxa"/>
            <w:tcBorders>
              <w:top w:val="single" w:sz="2" w:space="0" w:color="auto"/>
              <w:bottom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2015</w:t>
            </w:r>
          </w:p>
        </w:tc>
      </w:tr>
      <w:tr w:rsidR="00945ABB" w:rsidRPr="00945ABB" w:rsidTr="00945ABB">
        <w:trPr>
          <w:trHeight w:val="255"/>
        </w:trPr>
        <w:tc>
          <w:tcPr>
            <w:tcW w:w="554" w:type="dxa"/>
            <w:tcBorders>
              <w:top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w:t>
            </w:r>
          </w:p>
        </w:tc>
        <w:tc>
          <w:tcPr>
            <w:tcW w:w="891" w:type="dxa"/>
            <w:tcBorders>
              <w:top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w:t>
            </w:r>
          </w:p>
        </w:tc>
        <w:tc>
          <w:tcPr>
            <w:tcW w:w="739" w:type="dxa"/>
            <w:tcBorders>
              <w:top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-0.9</w:t>
            </w:r>
          </w:p>
        </w:tc>
        <w:tc>
          <w:tcPr>
            <w:tcW w:w="808" w:type="dxa"/>
            <w:tcBorders>
              <w:top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-3.54</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top w:val="single" w:sz="2" w:space="0" w:color="auto"/>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51</w:t>
            </w:r>
          </w:p>
        </w:tc>
        <w:tc>
          <w:tcPr>
            <w:tcW w:w="772" w:type="dxa"/>
            <w:tcBorders>
              <w:top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20.2</w:t>
            </w:r>
          </w:p>
        </w:tc>
        <w:tc>
          <w:tcPr>
            <w:tcW w:w="740" w:type="dxa"/>
            <w:tcBorders>
              <w:top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-8.1</w:t>
            </w:r>
          </w:p>
        </w:tc>
        <w:tc>
          <w:tcPr>
            <w:tcW w:w="800" w:type="dxa"/>
            <w:tcBorders>
              <w:top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-1.28</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top w:val="single" w:sz="2" w:space="0" w:color="auto"/>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101</w:t>
            </w:r>
          </w:p>
        </w:tc>
        <w:tc>
          <w:tcPr>
            <w:tcW w:w="772" w:type="dxa"/>
            <w:tcBorders>
              <w:top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11.4</w:t>
            </w:r>
          </w:p>
        </w:tc>
        <w:tc>
          <w:tcPr>
            <w:tcW w:w="780" w:type="dxa"/>
            <w:tcBorders>
              <w:top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5.9</w:t>
            </w:r>
          </w:p>
        </w:tc>
        <w:tc>
          <w:tcPr>
            <w:tcW w:w="880" w:type="dxa"/>
            <w:tcBorders>
              <w:top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12.57</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-0.76</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52</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21.2</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-12.9</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3.61</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102</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10.9</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13.13</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-3.6</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2.61</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53</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22.2</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-11.4</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4.42</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103</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11.7</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10.7</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1.71</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54</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23.2</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-7.4</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4.28</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104</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6.8</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9.58</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-3.5</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0.82</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55</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24.2</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-6.2</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5.83</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105</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6.7</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15.8</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-2.8</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-2.98</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56</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25.2</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-3.1</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5.3</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106</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5.3</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16.34</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-3.9</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-5.06</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57</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26.2</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-0.8</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107</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12.04</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-10.1</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-4.11</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58</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27.2</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-5.6</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5.47</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108</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18.4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5.5</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7.48</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-14.1</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3.95</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59</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28.2</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-10.4</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5.79</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109</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19.4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9.5</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7.88</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-10.5</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10.38</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60</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-7.2</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2.71</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110</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20.4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9.6</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11.24</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4.28</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61</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-12.7</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5.04</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111</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21.4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4.1</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14.12</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-8.6</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4.26</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62</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-10.2</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4.37</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112</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22.4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3.1</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13.77</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-0.6</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0.69</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63</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-4.1</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2.88</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113</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23.4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14.37</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-2.5</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0.85</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64</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-5.4</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1.42</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114</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24.4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13.74</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-8.2</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1.93</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65</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-2.6</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1.88</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115</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25.4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3.5</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15.4</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-6.3</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4.32</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66</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4.26</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116</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26.4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5.2</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17.11</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-14.1</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3.86</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67</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-0.3</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3.72</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117</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27.4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8.7</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17.62</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18</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18.1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-12.2</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2.05</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68</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2.8</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3.91</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118</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28.4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11.8</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14.09</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19</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19.1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-0.6</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1.56</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69</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0.3</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4.94</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119</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29.4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13.8</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9.67</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20</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20.1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-3.8</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2.43</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70</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0.2</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3.93</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120</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30.4</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13.8</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11.13</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21</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21.1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-8.7</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2.86</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71</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0.7</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4.07</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121</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12.4</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10.17</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22</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22.1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-9.6</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5.61</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72</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2.2</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4.04</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122</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7.4</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12.56</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23</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23.1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-6.6</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4.98</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73</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3.41</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123</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10.6</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9.75</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24</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24.1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-7.7</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0.51</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74</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2.9</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5.62</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124</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12.2</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16.01</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25</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25.1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-4.5</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0.27</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75</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9.61</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125</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13.6</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19.8</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26</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26.1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-5.8</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-0.89</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76</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-1.9</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9.58</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126</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17.1</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17.34</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27</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27.1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-0.66</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77</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18.3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-0.6</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6.17</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127</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17.5</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16.26</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28</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28.1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0.81</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78</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19.3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5.3</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128</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16.8</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15.74</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29</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29.1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-5.7</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-0.33</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79</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20.3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3.3</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4.03</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129</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17.5</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17.44</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30</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30.1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-3.5</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0.42</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80</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21.3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3.9</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5.9</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130</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15.8</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15.95</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31</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31.1</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-9.2</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-2.27</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81</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22.3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2.3</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5.51</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131</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13.53</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32</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-12.3</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-3.97</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82</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23.3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4.2</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3.05</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132</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16.4</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16.27</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33</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-18.2</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-1.97</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83</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24.3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3.4</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8.43</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133</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16.6</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18.29</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34</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-20</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-2.05</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84</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25.3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4.7</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10.83</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134</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16.9</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16.02</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35</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-10.2</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-1.28</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85</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26.3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6.6</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12.15</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135</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15.5</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13.77</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36</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-10.3</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-2.76</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86</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27.3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7.4</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8.79</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136</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16.79</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37</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-8.6</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-2.46</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87</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28.3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5.8</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6.9</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137</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10.5</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16.74</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38</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-14.7</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-2.73</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88</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29.3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6.8</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5.81</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138</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18.5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11.7</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15.25</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39</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-12.9</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-1.56</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89</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30.3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7.4</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8.88</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139</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19.5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8.5</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17.67</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40</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-11.2</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0.25</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90</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31.3</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7.3</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6.05</w:t>
            </w:r>
          </w:p>
        </w:tc>
        <w:tc>
          <w:tcPr>
            <w:tcW w:w="260"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140</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20.5</w:t>
            </w:r>
          </w:p>
        </w:tc>
        <w:tc>
          <w:tcPr>
            <w:tcW w:w="7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11.1</w:t>
            </w:r>
          </w:p>
        </w:tc>
        <w:tc>
          <w:tcPr>
            <w:tcW w:w="88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14.48</w:t>
            </w: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41</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-22.3</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4.41</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91</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5.8</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5.17</w:t>
            </w:r>
          </w:p>
        </w:tc>
        <w:tc>
          <w:tcPr>
            <w:tcW w:w="26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72"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8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42</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11.2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-23.8</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2.71</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92</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2.4</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2.4</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3.23</w:t>
            </w:r>
          </w:p>
        </w:tc>
        <w:tc>
          <w:tcPr>
            <w:tcW w:w="26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72"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8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43</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12.2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-20.4</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2.3</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93</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3.4</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0.7</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4.26</w:t>
            </w:r>
          </w:p>
        </w:tc>
        <w:tc>
          <w:tcPr>
            <w:tcW w:w="26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72"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8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44</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13.2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-17.2</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0.5</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94</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4.4</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-2.4</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3.15</w:t>
            </w:r>
          </w:p>
        </w:tc>
        <w:tc>
          <w:tcPr>
            <w:tcW w:w="26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72"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8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45</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14.2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2.51</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95</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5.4</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-2.5</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3.25</w:t>
            </w:r>
          </w:p>
        </w:tc>
        <w:tc>
          <w:tcPr>
            <w:tcW w:w="26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72"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8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46</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15.2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-10.9</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4.91</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96</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6.4</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-2.9</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3.02</w:t>
            </w:r>
          </w:p>
        </w:tc>
        <w:tc>
          <w:tcPr>
            <w:tcW w:w="26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72"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8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47</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16.2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-5.2</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-0.47</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97</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7.4</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0.4</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5.99</w:t>
            </w:r>
          </w:p>
        </w:tc>
        <w:tc>
          <w:tcPr>
            <w:tcW w:w="26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72"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8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48</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17.2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-2.5</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0.27</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98</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8.4</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3.5</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8.3</w:t>
            </w:r>
          </w:p>
        </w:tc>
        <w:tc>
          <w:tcPr>
            <w:tcW w:w="26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72"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8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49</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18.2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-5.4</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0.43</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99</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9.4</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5.4</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10.27</w:t>
            </w:r>
          </w:p>
        </w:tc>
        <w:tc>
          <w:tcPr>
            <w:tcW w:w="26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72"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8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r>
      <w:tr w:rsidR="00945ABB" w:rsidRPr="00945ABB" w:rsidTr="00945ABB">
        <w:trPr>
          <w:trHeight w:val="255"/>
        </w:trPr>
        <w:tc>
          <w:tcPr>
            <w:tcW w:w="554"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50</w:t>
            </w:r>
          </w:p>
        </w:tc>
        <w:tc>
          <w:tcPr>
            <w:tcW w:w="891"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19.2</w:t>
            </w:r>
          </w:p>
        </w:tc>
        <w:tc>
          <w:tcPr>
            <w:tcW w:w="739"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-7</w:t>
            </w:r>
          </w:p>
        </w:tc>
        <w:tc>
          <w:tcPr>
            <w:tcW w:w="808"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0.53</w:t>
            </w:r>
          </w:p>
        </w:tc>
        <w:tc>
          <w:tcPr>
            <w:tcW w:w="222" w:type="dxa"/>
            <w:tcBorders>
              <w:left w:val="single" w:sz="2" w:space="0" w:color="auto"/>
              <w:righ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4"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100</w:t>
            </w:r>
          </w:p>
        </w:tc>
        <w:tc>
          <w:tcPr>
            <w:tcW w:w="772"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10.4</w:t>
            </w:r>
          </w:p>
        </w:tc>
        <w:tc>
          <w:tcPr>
            <w:tcW w:w="740" w:type="dxa"/>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4.1</w:t>
            </w:r>
          </w:p>
        </w:tc>
        <w:tc>
          <w:tcPr>
            <w:tcW w:w="800" w:type="dxa"/>
            <w:tcBorders>
              <w:right w:val="single" w:sz="2" w:space="0" w:color="auto"/>
            </w:tcBorders>
            <w:shd w:val="clear" w:color="auto" w:fill="auto"/>
            <w:noWrap/>
            <w:vAlign w:val="bottom"/>
            <w:hideMark/>
          </w:tcPr>
          <w:p w:rsidR="00945ABB" w:rsidRPr="00945ABB" w:rsidRDefault="00945ABB" w:rsidP="00945ABB">
            <w:pPr>
              <w:spacing w:after="0"/>
              <w:ind w:firstLine="0"/>
              <w:contextualSpacing w:val="0"/>
              <w:jc w:val="right"/>
              <w:rPr>
                <w:rFonts w:ascii="Arial" w:eastAsia="Times New Roman" w:hAnsi="Arial" w:cs="Arial"/>
                <w:sz w:val="20"/>
                <w:szCs w:val="20"/>
                <w:lang w:val="en-US"/>
              </w:rPr>
            </w:pPr>
            <w:r w:rsidRPr="00945ABB">
              <w:rPr>
                <w:rFonts w:ascii="Arial" w:eastAsia="Times New Roman" w:hAnsi="Arial" w:cs="Arial"/>
                <w:sz w:val="20"/>
                <w:szCs w:val="20"/>
                <w:lang w:val="en-US"/>
              </w:rPr>
              <w:t>10.43</w:t>
            </w:r>
          </w:p>
        </w:tc>
        <w:tc>
          <w:tcPr>
            <w:tcW w:w="260" w:type="dxa"/>
            <w:tcBorders>
              <w:left w:val="single" w:sz="2" w:space="0" w:color="auto"/>
            </w:tcBorders>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55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72"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7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c>
          <w:tcPr>
            <w:tcW w:w="880" w:type="dxa"/>
            <w:shd w:val="clear" w:color="auto" w:fill="auto"/>
            <w:noWrap/>
            <w:vAlign w:val="bottom"/>
            <w:hideMark/>
          </w:tcPr>
          <w:p w:rsidR="00945ABB" w:rsidRPr="00945ABB" w:rsidRDefault="00945ABB" w:rsidP="00945ABB">
            <w:pPr>
              <w:spacing w:after="0"/>
              <w:ind w:firstLine="0"/>
              <w:contextualSpacing w:val="0"/>
              <w:jc w:val="left"/>
              <w:rPr>
                <w:rFonts w:ascii="Arial" w:eastAsia="Times New Roman" w:hAnsi="Arial" w:cs="Arial"/>
                <w:sz w:val="20"/>
                <w:szCs w:val="20"/>
                <w:lang w:val="en-US"/>
              </w:rPr>
            </w:pPr>
          </w:p>
        </w:tc>
      </w:tr>
    </w:tbl>
    <w:p w:rsidR="0017424E" w:rsidRPr="00145EC1" w:rsidRDefault="00145EC1" w:rsidP="00945ABB">
      <w:pPr>
        <w:ind w:firstLine="0"/>
        <w:jc w:val="left"/>
        <w:rPr>
          <w:b/>
        </w:rPr>
      </w:pPr>
      <w:proofErr w:type="spellStart"/>
      <w:r w:rsidRPr="00145EC1">
        <w:rPr>
          <w:b/>
        </w:rPr>
        <w:lastRenderedPageBreak/>
        <w:t>Fenofáze</w:t>
      </w:r>
      <w:proofErr w:type="spellEnd"/>
    </w:p>
    <w:p w:rsidR="00145EC1" w:rsidRDefault="00145EC1" w:rsidP="00945ABB">
      <w:pPr>
        <w:ind w:firstLine="0"/>
        <w:jc w:val="left"/>
      </w:pPr>
    </w:p>
    <w:p w:rsidR="00145EC1" w:rsidRDefault="00145EC1" w:rsidP="00145EC1">
      <w:pPr>
        <w:ind w:firstLine="0"/>
      </w:pPr>
      <w:r>
        <w:t xml:space="preserve">Rašení, první listy (10, 50, 100%), plné olistění (100%), </w:t>
      </w:r>
      <w:proofErr w:type="spellStart"/>
      <w:r>
        <w:t>butonizace</w:t>
      </w:r>
      <w:proofErr w:type="spellEnd"/>
      <w:r>
        <w:t xml:space="preserve"> (10%), počátek kvetení (10, 50, 100%), konec kvetení (100%), tvorba pupenů (10%), počátek fruktifikace (10%), dřevnatění výhonů (10%), žloutnutí listů (10, 100%), opad listů (10, 100%) a zralost plodů (10%).</w:t>
      </w:r>
    </w:p>
    <w:p w:rsidR="00145EC1" w:rsidRDefault="00145EC1" w:rsidP="00145EC1">
      <w:pPr>
        <w:ind w:firstLine="0"/>
      </w:pPr>
    </w:p>
    <w:p w:rsidR="00145EC1" w:rsidRPr="00CA5001" w:rsidRDefault="00145EC1" w:rsidP="00145EC1">
      <w:pPr>
        <w:rPr>
          <w:rFonts w:cs="Arial"/>
          <w:b/>
        </w:rPr>
      </w:pPr>
      <w:r w:rsidRPr="00CA5001">
        <w:rPr>
          <w:rFonts w:cs="Arial"/>
          <w:b/>
        </w:rPr>
        <w:t>Rašení (RA)</w:t>
      </w:r>
    </w:p>
    <w:p w:rsidR="00145EC1" w:rsidRDefault="00145EC1" w:rsidP="00145EC1">
      <w:r w:rsidRPr="00CA5001">
        <w:rPr>
          <w:rFonts w:cs="Arial"/>
        </w:rPr>
        <w:t xml:space="preserve">Pozorují se jen terminální (vrcholové pupeny). Ve spojitosti s růstem orgánů (v tomto případě listů) skrytých uvnitř pupenu došlo k částečnému rozevření obalných šupin, takže je vidět špičky listů nebo jehlic. Za datum nástupu </w:t>
      </w:r>
      <w:proofErr w:type="spellStart"/>
      <w:r w:rsidRPr="00CA5001">
        <w:rPr>
          <w:rFonts w:cs="Arial"/>
        </w:rPr>
        <w:t>fenofáze</w:t>
      </w:r>
      <w:proofErr w:type="spellEnd"/>
      <w:r w:rsidRPr="00CA5001">
        <w:rPr>
          <w:rFonts w:cs="Arial"/>
        </w:rPr>
        <w:t xml:space="preserve"> na jednotlivé rostlině se považuje den, kdy počet terminálních pupenů, které již dospěly do popsaného stavu, právě překročil 10% </w:t>
      </w:r>
      <w:r w:rsidRPr="00145EC1">
        <w:t>z celkového počtu těchto pupenů.</w:t>
      </w:r>
    </w:p>
    <w:p w:rsidR="00145EC1" w:rsidRDefault="00145EC1" w:rsidP="00145EC1">
      <w:pPr>
        <w:rPr>
          <w:b/>
          <w:color w:val="000000"/>
        </w:rPr>
      </w:pPr>
      <w:r>
        <w:rPr>
          <w:b/>
          <w:color w:val="000000"/>
        </w:rPr>
        <w:t>První listy (PL 10)</w:t>
      </w:r>
    </w:p>
    <w:p w:rsidR="00145EC1" w:rsidRPr="00D67E5A" w:rsidRDefault="00145EC1" w:rsidP="00D67E5A">
      <w:r w:rsidRPr="00145EC1">
        <w:rPr>
          <w:color w:val="000000"/>
        </w:rPr>
        <w:t>Sledují se jen listy, vyvíjející se z terminálních pupenů.  Při pohledu na líc listu je vidět celé listové žebro. Čepel listu je již částečně rozvinuta (u složených listů jsou vidět všechny jednotlivé lístky). Je stále patrný způsob složení listu v pupenu (řasnaté složení, svinutí). List ještě nedosáhl své konečné velikosti.</w:t>
      </w:r>
      <w:r>
        <w:rPr>
          <w:color w:val="000000"/>
        </w:rPr>
        <w:t xml:space="preserve"> </w:t>
      </w:r>
      <w:r w:rsidRPr="00145EC1">
        <w:rPr>
          <w:color w:val="000000"/>
        </w:rPr>
        <w:t xml:space="preserve">Zaznamenává se úroveň 10%, 50% a 100%. </w:t>
      </w:r>
    </w:p>
    <w:p w:rsidR="00145EC1" w:rsidRPr="00CA5001" w:rsidRDefault="00145EC1" w:rsidP="00145EC1">
      <w:pPr>
        <w:rPr>
          <w:rFonts w:cs="Arial"/>
          <w:b/>
        </w:rPr>
      </w:pPr>
      <w:r w:rsidRPr="00CA5001">
        <w:rPr>
          <w:rFonts w:cs="Arial"/>
          <w:b/>
        </w:rPr>
        <w:t>Plné olistění (LX)</w:t>
      </w:r>
    </w:p>
    <w:p w:rsidR="00145EC1" w:rsidRDefault="00145EC1" w:rsidP="00145EC1">
      <w:pPr>
        <w:rPr>
          <w:rFonts w:cs="Arial"/>
        </w:rPr>
      </w:pPr>
      <w:r w:rsidRPr="00CA5001">
        <w:rPr>
          <w:rFonts w:cs="Arial"/>
        </w:rPr>
        <w:t xml:space="preserve">Při pozorování se berou v úvahu všechny listy či jehlice s výjimkou těch, které vznikají na janských </w:t>
      </w:r>
      <w:proofErr w:type="spellStart"/>
      <w:proofErr w:type="gramStart"/>
      <w:r w:rsidRPr="00CA5001">
        <w:rPr>
          <w:rFonts w:cs="Arial"/>
        </w:rPr>
        <w:t>výhonech.Čepel</w:t>
      </w:r>
      <w:proofErr w:type="spellEnd"/>
      <w:proofErr w:type="gramEnd"/>
      <w:r w:rsidRPr="00CA5001">
        <w:rPr>
          <w:rFonts w:cs="Arial"/>
        </w:rPr>
        <w:t xml:space="preserve"> listu je již rozvinutá; u složených listů jsou již rozvinuty všechny lístky. Způsob, jakým list dosedá na větévku je zřetelný, (je vidět celý řapík, popř. báze přisedlého listu). List má charakteristický, dospělosti odpovídající tvar a velikost. Zaznamenává se pouze úroveň 100%, kdy jsou již více méně všechny listy rozvinuty.</w:t>
      </w:r>
    </w:p>
    <w:p w:rsidR="00145EC1" w:rsidRDefault="00145EC1" w:rsidP="00145EC1">
      <w:pPr>
        <w:rPr>
          <w:b/>
          <w:color w:val="000000"/>
        </w:rPr>
      </w:pPr>
      <w:proofErr w:type="spellStart"/>
      <w:r w:rsidRPr="00145EC1">
        <w:rPr>
          <w:b/>
          <w:color w:val="000000"/>
        </w:rPr>
        <w:t>Butonizace</w:t>
      </w:r>
      <w:proofErr w:type="spellEnd"/>
      <w:r w:rsidRPr="00145EC1">
        <w:rPr>
          <w:b/>
          <w:color w:val="000000"/>
        </w:rPr>
        <w:t xml:space="preserve"> (B)</w:t>
      </w:r>
    </w:p>
    <w:p w:rsidR="00145EC1" w:rsidRDefault="00145EC1" w:rsidP="00145EC1">
      <w:pPr>
        <w:rPr>
          <w:color w:val="000000"/>
        </w:rPr>
      </w:pPr>
      <w:r w:rsidRPr="00145EC1">
        <w:rPr>
          <w:color w:val="000000"/>
        </w:rPr>
        <w:t>javory a lípy: V úžlabí listů, uprostřed listové růžice jsou právě zřetelně vidět dosud nedorostlá květenství. U jehličnanů, buku a dubu jsou pozorována pouze samčí květenství.</w:t>
      </w:r>
    </w:p>
    <w:p w:rsidR="00145EC1" w:rsidRPr="00145EC1" w:rsidRDefault="00145EC1" w:rsidP="00145EC1">
      <w:pPr>
        <w:rPr>
          <w:color w:val="000000"/>
        </w:rPr>
      </w:pPr>
      <w:r>
        <w:rPr>
          <w:color w:val="000000"/>
        </w:rPr>
        <w:t>líska</w:t>
      </w:r>
      <w:r w:rsidRPr="00145EC1">
        <w:rPr>
          <w:color w:val="000000"/>
        </w:rPr>
        <w:t>: Pozorujeme jak se zpočátku tuhá, semknutá samčí jehněda ve své horní třetině začíná rozvolňovat a ohýbat k zemi. V ohybové části mezi listeny prosvítají prašníky. (tzv. prodlužování jehněd).</w:t>
      </w:r>
    </w:p>
    <w:p w:rsidR="00145EC1" w:rsidRPr="00CA5001" w:rsidRDefault="00145EC1" w:rsidP="00145EC1">
      <w:pPr>
        <w:rPr>
          <w:rFonts w:cs="Arial"/>
          <w:b/>
        </w:rPr>
      </w:pPr>
      <w:r w:rsidRPr="00CA5001">
        <w:rPr>
          <w:rFonts w:cs="Arial"/>
          <w:b/>
        </w:rPr>
        <w:t>Počátek kvetení 10% (PK10)</w:t>
      </w:r>
    </w:p>
    <w:p w:rsidR="00145EC1" w:rsidRPr="00CA5001" w:rsidRDefault="00145EC1" w:rsidP="00145EC1">
      <w:pPr>
        <w:rPr>
          <w:rFonts w:cs="Arial"/>
        </w:rPr>
      </w:pPr>
      <w:r w:rsidRPr="00CA5001">
        <w:rPr>
          <w:rFonts w:cs="Arial"/>
        </w:rPr>
        <w:t xml:space="preserve">Květy jsou rozevřené (jehnědy či šištice rozvolněné), prašníky jsou viditelné, alespoň některé z nich se právě otevírají a uvolňují pyl. V některých letech dochází koncem léta a na podzim k tzv. druhému rozkvětu. 10% květů na rostlině odpovídá popisu dané </w:t>
      </w:r>
      <w:proofErr w:type="spellStart"/>
      <w:r w:rsidRPr="00CA5001">
        <w:rPr>
          <w:rFonts w:cs="Arial"/>
        </w:rPr>
        <w:t>fenofáze</w:t>
      </w:r>
      <w:proofErr w:type="spellEnd"/>
      <w:r w:rsidRPr="00CA5001">
        <w:rPr>
          <w:rFonts w:cs="Arial"/>
        </w:rPr>
        <w:t>.</w:t>
      </w:r>
    </w:p>
    <w:p w:rsidR="00145EC1" w:rsidRPr="00CA5001" w:rsidRDefault="00145EC1" w:rsidP="00145EC1">
      <w:pPr>
        <w:rPr>
          <w:rFonts w:cs="Arial"/>
          <w:b/>
        </w:rPr>
      </w:pPr>
      <w:r w:rsidRPr="00CA5001">
        <w:rPr>
          <w:rFonts w:cs="Arial"/>
          <w:b/>
        </w:rPr>
        <w:t>Konec kvetení (KK)</w:t>
      </w:r>
    </w:p>
    <w:p w:rsidR="00D67E5A" w:rsidRDefault="00145EC1" w:rsidP="00D67E5A">
      <w:pPr>
        <w:rPr>
          <w:rFonts w:cs="Arial"/>
        </w:rPr>
      </w:pPr>
      <w:r w:rsidRPr="00CA5001">
        <w:rPr>
          <w:rFonts w:cs="Arial"/>
        </w:rPr>
        <w:t>Prašníky v květech (šišticích, jehnědách) jsou již prázdné, tmavnou a zasýchají, podobně jako nitky tyčinek. Rovněž korunní plátky nebo okvětí začínají zasýchat a opadávají. Samčí jehnědy a šištice zasýchají, rozpadávají se, padají k zemi. Za</w:t>
      </w:r>
      <w:r w:rsidR="00D67E5A">
        <w:rPr>
          <w:rFonts w:cs="Arial"/>
        </w:rPr>
        <w:t>znamenává se pouze úroveň 100%.</w:t>
      </w:r>
    </w:p>
    <w:p w:rsidR="00D67E5A" w:rsidRDefault="00D67E5A" w:rsidP="00D67E5A">
      <w:pPr>
        <w:rPr>
          <w:b/>
          <w:color w:val="000000"/>
        </w:rPr>
      </w:pPr>
      <w:r w:rsidRPr="00D67E5A">
        <w:rPr>
          <w:b/>
          <w:color w:val="000000"/>
        </w:rPr>
        <w:t>Tvorba pupenů (TP)</w:t>
      </w:r>
    </w:p>
    <w:p w:rsidR="00D67E5A" w:rsidRDefault="00D67E5A" w:rsidP="00D67E5A">
      <w:pPr>
        <w:rPr>
          <w:color w:val="000000"/>
        </w:rPr>
      </w:pPr>
      <w:r w:rsidRPr="00D67E5A">
        <w:rPr>
          <w:color w:val="000000"/>
        </w:rPr>
        <w:t>V době po olistění, zprav</w:t>
      </w:r>
      <w:r>
        <w:rPr>
          <w:color w:val="000000"/>
        </w:rPr>
        <w:t>idla ještě během dorůstání výhon</w:t>
      </w:r>
      <w:r w:rsidRPr="00D67E5A">
        <w:rPr>
          <w:color w:val="000000"/>
        </w:rPr>
        <w:t xml:space="preserve">u nebo záhy po jeho ukončení se v úžlabí listů objeví malé, pouhým okem rozpoznatelné pupeny – různotvaré útvary s charakteristicky uspořádanými krycími šupinami. V době nástupu </w:t>
      </w:r>
      <w:proofErr w:type="spellStart"/>
      <w:r w:rsidRPr="00D67E5A">
        <w:rPr>
          <w:color w:val="000000"/>
        </w:rPr>
        <w:t>fenofáze</w:t>
      </w:r>
      <w:proofErr w:type="spellEnd"/>
      <w:r w:rsidRPr="00D67E5A">
        <w:rPr>
          <w:color w:val="000000"/>
        </w:rPr>
        <w:t xml:space="preserve"> musí být šupiny na pupenech, umístěných v dolní části letorostu, zřetelné. Zaznamenává se pouze 10% úroveň.</w:t>
      </w:r>
    </w:p>
    <w:p w:rsidR="00D67E5A" w:rsidRDefault="00D67E5A" w:rsidP="00D67E5A">
      <w:pPr>
        <w:rPr>
          <w:b/>
          <w:color w:val="000000"/>
        </w:rPr>
      </w:pPr>
      <w:r w:rsidRPr="00D67E5A">
        <w:rPr>
          <w:b/>
          <w:color w:val="000000"/>
        </w:rPr>
        <w:t>Počátek fruktifikace (PF)</w:t>
      </w:r>
    </w:p>
    <w:p w:rsidR="00D67E5A" w:rsidRDefault="00D67E5A" w:rsidP="00D67E5A">
      <w:pPr>
        <w:rPr>
          <w:color w:val="000000"/>
        </w:rPr>
      </w:pPr>
      <w:r w:rsidRPr="00D67E5A">
        <w:rPr>
          <w:color w:val="000000"/>
        </w:rPr>
        <w:t>Po odkvětu se začínají tvořit plody („nalévat“), jsou poměrně malé, charakteristický tvar je již náznakově vyvinut. Ostatní orgány původního květu již opadly nebo jsou patrné jejich zaschlé zbytky. Zaznamenává se úroveň 10%, plody musí být patrné v různých částech koruny stromu či keře.</w:t>
      </w:r>
    </w:p>
    <w:p w:rsidR="00D67E5A" w:rsidRPr="00D67E5A" w:rsidRDefault="00D67E5A" w:rsidP="00D67E5A">
      <w:pPr>
        <w:rPr>
          <w:b/>
          <w:color w:val="000000"/>
        </w:rPr>
      </w:pPr>
      <w:r w:rsidRPr="00D67E5A">
        <w:rPr>
          <w:b/>
          <w:color w:val="000000"/>
        </w:rPr>
        <w:t>Dřevnatění výhonů (DV)</w:t>
      </w:r>
    </w:p>
    <w:p w:rsidR="00D67E5A" w:rsidRPr="00D67E5A" w:rsidRDefault="00D67E5A" w:rsidP="00D67E5A">
      <w:r w:rsidRPr="00D67E5A">
        <w:rPr>
          <w:color w:val="000000"/>
        </w:rPr>
        <w:lastRenderedPageBreak/>
        <w:t>Sledují se pouze jarní výhony. Výhon ve spodní části dřevnatí, ztrácí původní bylinný charakter., stává se pevným, méně ohebným, pružným, na jeho povrchu se vyvíjí kůra, která je svým vzhledem odlišná od bylinné části výhonu. Zaznamenává se 10% úroveň, kdy první zdřevnatělé výhony lze zjistit v různých částech koruny.</w:t>
      </w:r>
    </w:p>
    <w:p w:rsidR="00145EC1" w:rsidRPr="00D67E5A" w:rsidRDefault="00145EC1" w:rsidP="00145EC1">
      <w:pPr>
        <w:rPr>
          <w:b/>
        </w:rPr>
      </w:pPr>
      <w:r w:rsidRPr="00D67E5A">
        <w:rPr>
          <w:b/>
        </w:rPr>
        <w:t>Žloutnutí listů 10% (ZL10)</w:t>
      </w:r>
    </w:p>
    <w:p w:rsidR="00145EC1" w:rsidRPr="00CA5001" w:rsidRDefault="00145EC1" w:rsidP="00145EC1">
      <w:pPr>
        <w:rPr>
          <w:rFonts w:cs="Arial"/>
        </w:rPr>
      </w:pPr>
      <w:r w:rsidRPr="00CA5001">
        <w:rPr>
          <w:rFonts w:cs="Arial"/>
        </w:rPr>
        <w:t xml:space="preserve">Pozoruje se u všech dřevin s výjimkou smrku, borovice lesní a olše lepkavé. U bylin se tato </w:t>
      </w:r>
      <w:proofErr w:type="spellStart"/>
      <w:r w:rsidRPr="00CA5001">
        <w:rPr>
          <w:rFonts w:cs="Arial"/>
        </w:rPr>
        <w:t>fenofáze</w:t>
      </w:r>
      <w:proofErr w:type="spellEnd"/>
      <w:r w:rsidRPr="00CA5001">
        <w:rPr>
          <w:rFonts w:cs="Arial"/>
        </w:rPr>
        <w:t xml:space="preserve"> vůbec nepozoruje. Nesmí se zaměňovat s patologickým žloutnutím., které je projevem výskytu chorob, škůdců či jiných nepříznivých faktorů vnějšího prostředí. 10% listů na stromě zežloutlo (zhnědlo či jinak se probarvilo).</w:t>
      </w:r>
    </w:p>
    <w:p w:rsidR="00145EC1" w:rsidRPr="00CA5001" w:rsidRDefault="00145EC1" w:rsidP="00145EC1">
      <w:pPr>
        <w:rPr>
          <w:rFonts w:cs="Arial"/>
          <w:b/>
        </w:rPr>
      </w:pPr>
      <w:r w:rsidRPr="00CA5001">
        <w:rPr>
          <w:rFonts w:cs="Arial"/>
          <w:b/>
        </w:rPr>
        <w:t>Žloutnutí listů 100% (ZL100)</w:t>
      </w:r>
    </w:p>
    <w:p w:rsidR="00145EC1" w:rsidRPr="00CA5001" w:rsidRDefault="00145EC1" w:rsidP="00145EC1">
      <w:pPr>
        <w:rPr>
          <w:rFonts w:cs="Arial"/>
        </w:rPr>
      </w:pPr>
      <w:r w:rsidRPr="00CA5001">
        <w:rPr>
          <w:rFonts w:cs="Arial"/>
        </w:rPr>
        <w:t>100% listů na dřevině se zabarvilo (a popř. část již opadala; probarvování listů vlivem choroby či jiného poškození se pod tento pojem nezahrnuje; sleduje se u modřínů a všech druhů listnatých stromů kromě olše lepkavé a olše šedé.</w:t>
      </w:r>
    </w:p>
    <w:p w:rsidR="00145EC1" w:rsidRPr="00CA5001" w:rsidRDefault="00145EC1" w:rsidP="00145EC1">
      <w:pPr>
        <w:rPr>
          <w:rFonts w:cs="Arial"/>
          <w:b/>
        </w:rPr>
      </w:pPr>
      <w:r w:rsidRPr="00CA5001">
        <w:rPr>
          <w:rFonts w:cs="Arial"/>
          <w:b/>
        </w:rPr>
        <w:t>Opad listů 10% (OL10)</w:t>
      </w:r>
    </w:p>
    <w:p w:rsidR="00145EC1" w:rsidRPr="00CA5001" w:rsidRDefault="00145EC1" w:rsidP="00145EC1">
      <w:pPr>
        <w:rPr>
          <w:rFonts w:cs="Arial"/>
        </w:rPr>
      </w:pPr>
      <w:r w:rsidRPr="00CA5001">
        <w:rPr>
          <w:rFonts w:cs="Arial"/>
        </w:rPr>
        <w:t>Jedná se o první stupeň nástupu opadu, kdy 10% listů (či jehlic) je opadaných. Sleduje se u modřínů a všech druhů listnatých stromů. Tato fáze nastává zpravidla až poté, co všechny listy či jehlice zežloutnou, ale není to pravidlo.</w:t>
      </w:r>
    </w:p>
    <w:p w:rsidR="00145EC1" w:rsidRPr="00CA5001" w:rsidRDefault="00145EC1" w:rsidP="00145EC1">
      <w:pPr>
        <w:rPr>
          <w:rFonts w:cs="Arial"/>
          <w:b/>
        </w:rPr>
      </w:pPr>
      <w:r w:rsidRPr="00CA5001">
        <w:rPr>
          <w:rFonts w:cs="Arial"/>
          <w:b/>
        </w:rPr>
        <w:t>Opad listů 100% (OL100)</w:t>
      </w:r>
    </w:p>
    <w:p w:rsidR="00D67E5A" w:rsidRDefault="00145EC1" w:rsidP="00D67E5A">
      <w:pPr>
        <w:rPr>
          <w:rFonts w:cs="Arial"/>
        </w:rPr>
      </w:pPr>
      <w:r w:rsidRPr="00CA5001">
        <w:rPr>
          <w:rFonts w:cs="Arial"/>
        </w:rPr>
        <w:t>Jedná se o druhý stupeň opadu, kdy 100% listů (či jehlic) je opadaných. Sleduje se u modřínů a všech druhů listnatých stromů. Někdy se zaznamenává i 50% úroveň – OL50.</w:t>
      </w:r>
    </w:p>
    <w:p w:rsidR="00D67E5A" w:rsidRDefault="00145EC1" w:rsidP="00D67E5A">
      <w:pPr>
        <w:rPr>
          <w:b/>
          <w:color w:val="000000"/>
        </w:rPr>
      </w:pPr>
      <w:r w:rsidRPr="00D67E5A">
        <w:rPr>
          <w:b/>
          <w:color w:val="000000"/>
        </w:rPr>
        <w:t>Zralost plodů (ZP)</w:t>
      </w:r>
    </w:p>
    <w:p w:rsidR="00D67E5A" w:rsidRDefault="00145EC1" w:rsidP="00D67E5A">
      <w:pPr>
        <w:rPr>
          <w:color w:val="000000"/>
        </w:rPr>
      </w:pPr>
      <w:r w:rsidRPr="00D67E5A">
        <w:rPr>
          <w:color w:val="000000"/>
        </w:rPr>
        <w:t>Plody či šištice mají charakteristický tvar a zabarvení, jsou dorostlé do konečné velikosti, a buď začínají měknout (například plody třešně) nebo jsou naopak již typicky ztvrdlé (například oříšek lísky). U dalších druhů je pro určení zralosti rozhodující praskání (otevírání, drolení) plodů a uvolňováni semen (buk, dub) či roznášení jednotlivých plodů větrem (například křídlaté dvounažky javorů, bříza aj.).</w:t>
      </w:r>
    </w:p>
    <w:p w:rsidR="00D67E5A" w:rsidRDefault="00145EC1" w:rsidP="00D67E5A">
      <w:pPr>
        <w:rPr>
          <w:color w:val="000000"/>
        </w:rPr>
      </w:pPr>
      <w:r w:rsidRPr="00D67E5A">
        <w:rPr>
          <w:color w:val="000000"/>
        </w:rPr>
        <w:t>Javor klen - plody (dvounažky) jsou dorostlé, zejména v horní části plodenství se vybarvují do žluta a zasychají. Snadno se na dotek ulamují nebo již samy začínají padat typickým vrtulovitým způsobem k zemi.</w:t>
      </w:r>
    </w:p>
    <w:p w:rsidR="00D67E5A" w:rsidRDefault="00145EC1" w:rsidP="00D67E5A">
      <w:pPr>
        <w:rPr>
          <w:color w:val="000000"/>
        </w:rPr>
      </w:pPr>
      <w:r w:rsidRPr="00D67E5A">
        <w:rPr>
          <w:color w:val="000000"/>
        </w:rPr>
        <w:t>Líska obecná - oříšky jsou okrové až hnědé barvy, samy vypadávají nebo se snadno uvolňují z kalichu, který také zasychá.</w:t>
      </w:r>
    </w:p>
    <w:p w:rsidR="00145EC1" w:rsidRPr="00D67E5A" w:rsidRDefault="00145EC1" w:rsidP="00D67E5A">
      <w:pPr>
        <w:rPr>
          <w:rFonts w:cs="Arial"/>
        </w:rPr>
      </w:pPr>
      <w:r w:rsidRPr="00D67E5A">
        <w:rPr>
          <w:color w:val="000000"/>
        </w:rPr>
        <w:t>Lípa srdčitá - plody (oříšky) jsou plně dorostlé, suché a tvrdé</w:t>
      </w:r>
    </w:p>
    <w:p w:rsidR="00145EC1" w:rsidRPr="00CA5001" w:rsidRDefault="00145EC1" w:rsidP="00145EC1">
      <w:pPr>
        <w:pStyle w:val="Normlnweb"/>
        <w:spacing w:before="0" w:beforeAutospacing="0" w:after="0" w:afterAutospacing="0" w:line="360" w:lineRule="atLeast"/>
        <w:rPr>
          <w:rFonts w:asciiTheme="minorHAnsi" w:hAnsiTheme="minorHAnsi" w:cs="Arial"/>
          <w:color w:val="000000"/>
          <w:sz w:val="22"/>
          <w:szCs w:val="22"/>
        </w:rPr>
      </w:pPr>
    </w:p>
    <w:sectPr w:rsidR="00145EC1" w:rsidRPr="00CA5001" w:rsidSect="00BB25EE">
      <w:pgSz w:w="12240" w:h="15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51B"/>
    <w:multiLevelType w:val="hybridMultilevel"/>
    <w:tmpl w:val="37D0A624"/>
    <w:lvl w:ilvl="0" w:tplc="D66A47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9877BFF"/>
    <w:multiLevelType w:val="hybridMultilevel"/>
    <w:tmpl w:val="DA52FC4C"/>
    <w:lvl w:ilvl="0" w:tplc="AC6AEEC6">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E352180"/>
    <w:multiLevelType w:val="hybridMultilevel"/>
    <w:tmpl w:val="2FBA7C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E14CA0"/>
    <w:multiLevelType w:val="hybridMultilevel"/>
    <w:tmpl w:val="EE6C41B0"/>
    <w:lvl w:ilvl="0" w:tplc="EDDA5A92">
      <w:start w:val="1"/>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nsid w:val="2C96242B"/>
    <w:multiLevelType w:val="hybridMultilevel"/>
    <w:tmpl w:val="65840E28"/>
    <w:lvl w:ilvl="0" w:tplc="2A625698">
      <w:start w:val="1"/>
      <w:numFmt w:val="decimal"/>
      <w:lvlText w:val="%1."/>
      <w:lvlJc w:val="left"/>
      <w:pPr>
        <w:ind w:left="312" w:hanging="170"/>
      </w:pPr>
      <w:rPr>
        <w:rFonts w:hint="default"/>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3E0462F5"/>
    <w:multiLevelType w:val="hybridMultilevel"/>
    <w:tmpl w:val="28220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21627"/>
    <w:multiLevelType w:val="hybridMultilevel"/>
    <w:tmpl w:val="7C6CBEB4"/>
    <w:lvl w:ilvl="0" w:tplc="639E3FD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62B84"/>
    <w:multiLevelType w:val="hybridMultilevel"/>
    <w:tmpl w:val="F7AE6A40"/>
    <w:lvl w:ilvl="0" w:tplc="F578ABF4">
      <w:start w:val="1"/>
      <w:numFmt w:val="upperLetter"/>
      <w:lvlText w:val="%1 "/>
      <w:lvlJc w:val="left"/>
      <w:pPr>
        <w:ind w:left="1353" w:hanging="360"/>
      </w:pPr>
      <w:rPr>
        <w:rFonts w:hint="default"/>
        <w:b/>
        <w:sz w:val="44"/>
      </w:rPr>
    </w:lvl>
    <w:lvl w:ilvl="1" w:tplc="D66A47C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156A7F"/>
    <w:multiLevelType w:val="hybridMultilevel"/>
    <w:tmpl w:val="65CCA430"/>
    <w:lvl w:ilvl="0" w:tplc="14D2066A">
      <w:start w:val="1"/>
      <w:numFmt w:val="bullet"/>
      <w:lvlText w:val="□"/>
      <w:lvlJc w:val="left"/>
      <w:pPr>
        <w:ind w:left="1353" w:hanging="360"/>
      </w:pPr>
      <w:rPr>
        <w:rFonts w:ascii="Times New Roman" w:hAnsi="Times New Roman" w:cs="Times New Roman" w:hint="default"/>
        <w:sz w:val="44"/>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nsid w:val="5C0337E4"/>
    <w:multiLevelType w:val="hybridMultilevel"/>
    <w:tmpl w:val="9D0A112E"/>
    <w:lvl w:ilvl="0" w:tplc="F7286ED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594C4E"/>
    <w:multiLevelType w:val="hybridMultilevel"/>
    <w:tmpl w:val="DEA28150"/>
    <w:lvl w:ilvl="0" w:tplc="B26C512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3"/>
  </w:num>
  <w:num w:numId="7">
    <w:abstractNumId w:val="8"/>
  </w:num>
  <w:num w:numId="8">
    <w:abstractNumId w:val="9"/>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19"/>
    <w:rsid w:val="00001FA0"/>
    <w:rsid w:val="0000496D"/>
    <w:rsid w:val="000B3060"/>
    <w:rsid w:val="0013493F"/>
    <w:rsid w:val="001422C7"/>
    <w:rsid w:val="00145EC1"/>
    <w:rsid w:val="001508E4"/>
    <w:rsid w:val="0017424E"/>
    <w:rsid w:val="00192546"/>
    <w:rsid w:val="00196B66"/>
    <w:rsid w:val="001979D8"/>
    <w:rsid w:val="001A1153"/>
    <w:rsid w:val="001F457D"/>
    <w:rsid w:val="002147FE"/>
    <w:rsid w:val="002278CC"/>
    <w:rsid w:val="002C690D"/>
    <w:rsid w:val="002E3548"/>
    <w:rsid w:val="002F0D7B"/>
    <w:rsid w:val="003B0A80"/>
    <w:rsid w:val="003C4A70"/>
    <w:rsid w:val="003D0EF3"/>
    <w:rsid w:val="00407416"/>
    <w:rsid w:val="00434890"/>
    <w:rsid w:val="0046796C"/>
    <w:rsid w:val="0048249E"/>
    <w:rsid w:val="004A00FA"/>
    <w:rsid w:val="004C06B8"/>
    <w:rsid w:val="004C1C99"/>
    <w:rsid w:val="004C3E8C"/>
    <w:rsid w:val="00505849"/>
    <w:rsid w:val="005061EF"/>
    <w:rsid w:val="00524B8F"/>
    <w:rsid w:val="00555E62"/>
    <w:rsid w:val="005902C4"/>
    <w:rsid w:val="005B2A6F"/>
    <w:rsid w:val="005C5845"/>
    <w:rsid w:val="005F05AE"/>
    <w:rsid w:val="00610A34"/>
    <w:rsid w:val="00626EFE"/>
    <w:rsid w:val="0068084E"/>
    <w:rsid w:val="006D6D9E"/>
    <w:rsid w:val="006E1925"/>
    <w:rsid w:val="00784C6E"/>
    <w:rsid w:val="00785871"/>
    <w:rsid w:val="00796C1A"/>
    <w:rsid w:val="007B4A04"/>
    <w:rsid w:val="007D3E5B"/>
    <w:rsid w:val="007F2701"/>
    <w:rsid w:val="008527A8"/>
    <w:rsid w:val="00862F86"/>
    <w:rsid w:val="00893EA8"/>
    <w:rsid w:val="008A1238"/>
    <w:rsid w:val="008A597A"/>
    <w:rsid w:val="008B2AA4"/>
    <w:rsid w:val="008D43B3"/>
    <w:rsid w:val="00932C60"/>
    <w:rsid w:val="00945ABB"/>
    <w:rsid w:val="00971186"/>
    <w:rsid w:val="0097157F"/>
    <w:rsid w:val="00984FD1"/>
    <w:rsid w:val="009934AC"/>
    <w:rsid w:val="009E01F8"/>
    <w:rsid w:val="00A042AF"/>
    <w:rsid w:val="00A25361"/>
    <w:rsid w:val="00A56FDE"/>
    <w:rsid w:val="00AA5746"/>
    <w:rsid w:val="00AD03DA"/>
    <w:rsid w:val="00AD5D46"/>
    <w:rsid w:val="00B82D8E"/>
    <w:rsid w:val="00BA285F"/>
    <w:rsid w:val="00BB25EE"/>
    <w:rsid w:val="00C22105"/>
    <w:rsid w:val="00C56FF2"/>
    <w:rsid w:val="00C57B20"/>
    <w:rsid w:val="00CA5F70"/>
    <w:rsid w:val="00D003EF"/>
    <w:rsid w:val="00D03B23"/>
    <w:rsid w:val="00D116D2"/>
    <w:rsid w:val="00D22D44"/>
    <w:rsid w:val="00D32B54"/>
    <w:rsid w:val="00D67E5A"/>
    <w:rsid w:val="00DB195B"/>
    <w:rsid w:val="00DC7651"/>
    <w:rsid w:val="00DD4218"/>
    <w:rsid w:val="00E13019"/>
    <w:rsid w:val="00E407EF"/>
    <w:rsid w:val="00E57CDD"/>
    <w:rsid w:val="00E93740"/>
    <w:rsid w:val="00EE4A1C"/>
    <w:rsid w:val="00F13094"/>
    <w:rsid w:val="00F22F02"/>
    <w:rsid w:val="00F962EE"/>
    <w:rsid w:val="00FF3BF8"/>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85F"/>
    <w:pPr>
      <w:spacing w:line="240" w:lineRule="auto"/>
      <w:ind w:firstLine="567"/>
      <w:contextualSpacing/>
      <w:jc w:val="both"/>
    </w:pPr>
    <w:rPr>
      <w:rFonts w:ascii="Times New Roman" w:eastAsia="Calibri" w:hAnsi="Times New Roman" w:cs="Times New Roman"/>
      <w:sz w:val="24"/>
      <w:szCs w:val="24"/>
      <w:lang w:val="cs-CZ"/>
    </w:rPr>
  </w:style>
  <w:style w:type="paragraph" w:styleId="Nadpis1">
    <w:name w:val="heading 1"/>
    <w:basedOn w:val="Odstavecseseznamem"/>
    <w:next w:val="Normln"/>
    <w:link w:val="Nadpis1Char"/>
    <w:uiPriority w:val="9"/>
    <w:qFormat/>
    <w:rsid w:val="00407416"/>
    <w:pPr>
      <w:ind w:left="0"/>
      <w:jc w:val="center"/>
      <w:outlineLvl w:val="0"/>
    </w:pPr>
    <w:rPr>
      <w:b/>
      <w:sz w:val="36"/>
      <w:szCs w:val="36"/>
    </w:rPr>
  </w:style>
  <w:style w:type="paragraph" w:styleId="Nadpis2">
    <w:name w:val="heading 2"/>
    <w:basedOn w:val="Odstavecseseznamem"/>
    <w:next w:val="Normln"/>
    <w:link w:val="Nadpis2Char"/>
    <w:uiPriority w:val="9"/>
    <w:unhideWhenUsed/>
    <w:qFormat/>
    <w:rsid w:val="00407416"/>
    <w:pPr>
      <w:ind w:left="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7416"/>
    <w:pPr>
      <w:ind w:left="720"/>
    </w:pPr>
  </w:style>
  <w:style w:type="character" w:customStyle="1" w:styleId="Nadpis1Char">
    <w:name w:val="Nadpis 1 Char"/>
    <w:basedOn w:val="Standardnpsmoodstavce"/>
    <w:link w:val="Nadpis1"/>
    <w:uiPriority w:val="9"/>
    <w:rsid w:val="00407416"/>
    <w:rPr>
      <w:rFonts w:ascii="Times New Roman" w:eastAsia="Calibri" w:hAnsi="Times New Roman" w:cs="Times New Roman"/>
      <w:b/>
      <w:sz w:val="36"/>
      <w:szCs w:val="36"/>
      <w:lang w:val="cs-CZ"/>
    </w:rPr>
  </w:style>
  <w:style w:type="character" w:customStyle="1" w:styleId="Nadpis2Char">
    <w:name w:val="Nadpis 2 Char"/>
    <w:basedOn w:val="Standardnpsmoodstavce"/>
    <w:link w:val="Nadpis2"/>
    <w:uiPriority w:val="9"/>
    <w:rsid w:val="00407416"/>
    <w:rPr>
      <w:rFonts w:ascii="Times New Roman" w:eastAsia="Calibri" w:hAnsi="Times New Roman" w:cs="Times New Roman"/>
      <w:b/>
      <w:sz w:val="24"/>
      <w:szCs w:val="24"/>
      <w:lang w:val="cs-CZ"/>
    </w:rPr>
  </w:style>
  <w:style w:type="paragraph" w:styleId="Textbubliny">
    <w:name w:val="Balloon Text"/>
    <w:basedOn w:val="Normln"/>
    <w:link w:val="TextbublinyChar"/>
    <w:uiPriority w:val="99"/>
    <w:semiHidden/>
    <w:unhideWhenUsed/>
    <w:rsid w:val="0013493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493F"/>
    <w:rPr>
      <w:rFonts w:ascii="Tahoma" w:eastAsia="Calibri" w:hAnsi="Tahoma" w:cs="Tahoma"/>
      <w:sz w:val="16"/>
      <w:szCs w:val="16"/>
      <w:lang w:val="cs-CZ"/>
    </w:rPr>
  </w:style>
  <w:style w:type="table" w:styleId="Mkatabulky">
    <w:name w:val="Table Grid"/>
    <w:basedOn w:val="Normlntabulka"/>
    <w:uiPriority w:val="59"/>
    <w:rsid w:val="00AD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145EC1"/>
    <w:pPr>
      <w:spacing w:before="100" w:beforeAutospacing="1" w:after="100" w:afterAutospacing="1"/>
      <w:ind w:firstLine="0"/>
      <w:contextualSpacing w:val="0"/>
      <w:jc w:val="left"/>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85F"/>
    <w:pPr>
      <w:spacing w:line="240" w:lineRule="auto"/>
      <w:ind w:firstLine="567"/>
      <w:contextualSpacing/>
      <w:jc w:val="both"/>
    </w:pPr>
    <w:rPr>
      <w:rFonts w:ascii="Times New Roman" w:eastAsia="Calibri" w:hAnsi="Times New Roman" w:cs="Times New Roman"/>
      <w:sz w:val="24"/>
      <w:szCs w:val="24"/>
      <w:lang w:val="cs-CZ"/>
    </w:rPr>
  </w:style>
  <w:style w:type="paragraph" w:styleId="Nadpis1">
    <w:name w:val="heading 1"/>
    <w:basedOn w:val="Odstavecseseznamem"/>
    <w:next w:val="Normln"/>
    <w:link w:val="Nadpis1Char"/>
    <w:uiPriority w:val="9"/>
    <w:qFormat/>
    <w:rsid w:val="00407416"/>
    <w:pPr>
      <w:ind w:left="0"/>
      <w:jc w:val="center"/>
      <w:outlineLvl w:val="0"/>
    </w:pPr>
    <w:rPr>
      <w:b/>
      <w:sz w:val="36"/>
      <w:szCs w:val="36"/>
    </w:rPr>
  </w:style>
  <w:style w:type="paragraph" w:styleId="Nadpis2">
    <w:name w:val="heading 2"/>
    <w:basedOn w:val="Odstavecseseznamem"/>
    <w:next w:val="Normln"/>
    <w:link w:val="Nadpis2Char"/>
    <w:uiPriority w:val="9"/>
    <w:unhideWhenUsed/>
    <w:qFormat/>
    <w:rsid w:val="00407416"/>
    <w:pPr>
      <w:ind w:left="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7416"/>
    <w:pPr>
      <w:ind w:left="720"/>
    </w:pPr>
  </w:style>
  <w:style w:type="character" w:customStyle="1" w:styleId="Nadpis1Char">
    <w:name w:val="Nadpis 1 Char"/>
    <w:basedOn w:val="Standardnpsmoodstavce"/>
    <w:link w:val="Nadpis1"/>
    <w:uiPriority w:val="9"/>
    <w:rsid w:val="00407416"/>
    <w:rPr>
      <w:rFonts w:ascii="Times New Roman" w:eastAsia="Calibri" w:hAnsi="Times New Roman" w:cs="Times New Roman"/>
      <w:b/>
      <w:sz w:val="36"/>
      <w:szCs w:val="36"/>
      <w:lang w:val="cs-CZ"/>
    </w:rPr>
  </w:style>
  <w:style w:type="character" w:customStyle="1" w:styleId="Nadpis2Char">
    <w:name w:val="Nadpis 2 Char"/>
    <w:basedOn w:val="Standardnpsmoodstavce"/>
    <w:link w:val="Nadpis2"/>
    <w:uiPriority w:val="9"/>
    <w:rsid w:val="00407416"/>
    <w:rPr>
      <w:rFonts w:ascii="Times New Roman" w:eastAsia="Calibri" w:hAnsi="Times New Roman" w:cs="Times New Roman"/>
      <w:b/>
      <w:sz w:val="24"/>
      <w:szCs w:val="24"/>
      <w:lang w:val="cs-CZ"/>
    </w:rPr>
  </w:style>
  <w:style w:type="paragraph" w:styleId="Textbubliny">
    <w:name w:val="Balloon Text"/>
    <w:basedOn w:val="Normln"/>
    <w:link w:val="TextbublinyChar"/>
    <w:uiPriority w:val="99"/>
    <w:semiHidden/>
    <w:unhideWhenUsed/>
    <w:rsid w:val="0013493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493F"/>
    <w:rPr>
      <w:rFonts w:ascii="Tahoma" w:eastAsia="Calibri" w:hAnsi="Tahoma" w:cs="Tahoma"/>
      <w:sz w:val="16"/>
      <w:szCs w:val="16"/>
      <w:lang w:val="cs-CZ"/>
    </w:rPr>
  </w:style>
  <w:style w:type="table" w:styleId="Mkatabulky">
    <w:name w:val="Table Grid"/>
    <w:basedOn w:val="Normlntabulka"/>
    <w:uiPriority w:val="59"/>
    <w:rsid w:val="00AD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145EC1"/>
    <w:pPr>
      <w:spacing w:before="100" w:beforeAutospacing="1" w:after="100" w:afterAutospacing="1"/>
      <w:ind w:firstLine="0"/>
      <w:contextualSpacing w:val="0"/>
      <w:jc w:val="left"/>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9265">
      <w:bodyDiv w:val="1"/>
      <w:marLeft w:val="0"/>
      <w:marRight w:val="0"/>
      <w:marTop w:val="0"/>
      <w:marBottom w:val="0"/>
      <w:divBdr>
        <w:top w:val="none" w:sz="0" w:space="0" w:color="auto"/>
        <w:left w:val="none" w:sz="0" w:space="0" w:color="auto"/>
        <w:bottom w:val="none" w:sz="0" w:space="0" w:color="auto"/>
        <w:right w:val="none" w:sz="0" w:space="0" w:color="auto"/>
      </w:divBdr>
    </w:div>
    <w:div w:id="209264602">
      <w:bodyDiv w:val="1"/>
      <w:marLeft w:val="0"/>
      <w:marRight w:val="0"/>
      <w:marTop w:val="0"/>
      <w:marBottom w:val="0"/>
      <w:divBdr>
        <w:top w:val="none" w:sz="0" w:space="0" w:color="auto"/>
        <w:left w:val="none" w:sz="0" w:space="0" w:color="auto"/>
        <w:bottom w:val="none" w:sz="0" w:space="0" w:color="auto"/>
        <w:right w:val="none" w:sz="0" w:space="0" w:color="auto"/>
      </w:divBdr>
    </w:div>
    <w:div w:id="1179541674">
      <w:bodyDiv w:val="1"/>
      <w:marLeft w:val="0"/>
      <w:marRight w:val="0"/>
      <w:marTop w:val="0"/>
      <w:marBottom w:val="0"/>
      <w:divBdr>
        <w:top w:val="none" w:sz="0" w:space="0" w:color="auto"/>
        <w:left w:val="none" w:sz="0" w:space="0" w:color="auto"/>
        <w:bottom w:val="none" w:sz="0" w:space="0" w:color="auto"/>
        <w:right w:val="none" w:sz="0" w:space="0" w:color="auto"/>
      </w:divBdr>
    </w:div>
    <w:div w:id="1412964301">
      <w:bodyDiv w:val="1"/>
      <w:marLeft w:val="0"/>
      <w:marRight w:val="0"/>
      <w:marTop w:val="0"/>
      <w:marBottom w:val="0"/>
      <w:divBdr>
        <w:top w:val="none" w:sz="0" w:space="0" w:color="auto"/>
        <w:left w:val="none" w:sz="0" w:space="0" w:color="auto"/>
        <w:bottom w:val="none" w:sz="0" w:space="0" w:color="auto"/>
        <w:right w:val="none" w:sz="0" w:space="0" w:color="auto"/>
      </w:divBdr>
    </w:div>
    <w:div w:id="1853647257">
      <w:bodyDiv w:val="1"/>
      <w:marLeft w:val="0"/>
      <w:marRight w:val="0"/>
      <w:marTop w:val="0"/>
      <w:marBottom w:val="0"/>
      <w:divBdr>
        <w:top w:val="none" w:sz="0" w:space="0" w:color="auto"/>
        <w:left w:val="none" w:sz="0" w:space="0" w:color="auto"/>
        <w:bottom w:val="none" w:sz="0" w:space="0" w:color="auto"/>
        <w:right w:val="none" w:sz="0" w:space="0" w:color="auto"/>
      </w:divBdr>
    </w:div>
    <w:div w:id="21054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21E3576-E85E-4372-98F7-8F76DD42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1492</Words>
  <Characters>8505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7</cp:revision>
  <dcterms:created xsi:type="dcterms:W3CDTF">2015-10-11T16:28:00Z</dcterms:created>
  <dcterms:modified xsi:type="dcterms:W3CDTF">2015-10-11T18:56:00Z</dcterms:modified>
</cp:coreProperties>
</file>